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4EB74" w14:textId="77777777" w:rsidR="00037447" w:rsidRPr="002F67B9" w:rsidRDefault="00D0680C" w:rsidP="002F67B9">
      <w:pPr>
        <w:spacing w:line="276" w:lineRule="auto"/>
        <w:jc w:val="center"/>
        <w:rPr>
          <w:rFonts w:ascii="Arial" w:hAnsi="Arial" w:cs="Arial"/>
        </w:rPr>
      </w:pPr>
      <w:r>
        <w:rPr>
          <w:rStyle w:val="Strong"/>
          <w:rFonts w:ascii="Arial" w:hAnsi="Arial" w:cs="Arial"/>
          <w:caps/>
          <w:color w:val="000000"/>
          <w:sz w:val="28"/>
          <w:szCs w:val="28"/>
        </w:rPr>
        <w:t xml:space="preserve">POTASH </w:t>
      </w:r>
      <w:r w:rsidR="00932561">
        <w:rPr>
          <w:rStyle w:val="Strong"/>
          <w:rFonts w:ascii="Arial" w:hAnsi="Arial" w:cs="Arial"/>
          <w:caps/>
          <w:color w:val="000000"/>
          <w:sz w:val="28"/>
          <w:szCs w:val="28"/>
        </w:rPr>
        <w:t>PETROPHYSICS – THEN AND NOW</w:t>
      </w:r>
      <w:r w:rsidRPr="00914070">
        <w:rPr>
          <w:rFonts w:ascii="Arial" w:hAnsi="Arial" w:cs="Arial"/>
          <w:b/>
          <w:bCs/>
          <w:color w:val="000000"/>
        </w:rPr>
        <w:t xml:space="preserve"> </w:t>
      </w:r>
      <w:r w:rsidR="00037447" w:rsidRPr="00914070">
        <w:rPr>
          <w:rFonts w:ascii="Arial" w:hAnsi="Arial" w:cs="Arial"/>
          <w:b/>
          <w:bCs/>
          <w:color w:val="000000"/>
        </w:rPr>
        <w:br/>
      </w:r>
      <w:r w:rsidR="00037447" w:rsidRPr="00AB28CC">
        <w:rPr>
          <w:rFonts w:ascii="Arial" w:hAnsi="Arial" w:cs="Arial"/>
          <w:b/>
          <w:bCs/>
          <w:caps/>
          <w:color w:val="FF0000"/>
          <w:sz w:val="28"/>
          <w:szCs w:val="28"/>
        </w:rPr>
        <w:br/>
      </w:r>
      <w:r w:rsidR="00037447" w:rsidRPr="002F67B9">
        <w:rPr>
          <w:rFonts w:ascii="Arial" w:hAnsi="Arial" w:cs="Arial"/>
        </w:rPr>
        <w:t>E. R. (Ross) Crain, P</w:t>
      </w:r>
      <w:r w:rsidR="00AA58D9" w:rsidRPr="002F67B9">
        <w:rPr>
          <w:rFonts w:ascii="Arial" w:hAnsi="Arial" w:cs="Arial"/>
        </w:rPr>
        <w:t>.Eng.</w:t>
      </w:r>
      <w:r w:rsidR="00AA58D9" w:rsidRPr="002F67B9">
        <w:rPr>
          <w:rFonts w:ascii="Arial" w:hAnsi="Arial" w:cs="Arial"/>
        </w:rPr>
        <w:br/>
        <w:t>Spectrum 2000 Mindware</w:t>
      </w:r>
      <w:r w:rsidR="00311E1E" w:rsidRPr="002F67B9">
        <w:rPr>
          <w:rFonts w:ascii="Arial" w:hAnsi="Arial" w:cs="Arial"/>
        </w:rPr>
        <w:t xml:space="preserve"> Ltd</w:t>
      </w:r>
      <w:r w:rsidR="00311E1E" w:rsidRPr="002F67B9">
        <w:rPr>
          <w:rFonts w:ascii="Arial" w:hAnsi="Arial" w:cs="Arial"/>
        </w:rPr>
        <w:br/>
      </w:r>
      <w:r w:rsidR="00311E1E" w:rsidRPr="002F67B9">
        <w:rPr>
          <w:rFonts w:ascii="Arial" w:hAnsi="Arial" w:cs="Arial"/>
        </w:rPr>
        <w:br/>
      </w:r>
      <w:r w:rsidR="00AA58D9" w:rsidRPr="002F67B9">
        <w:rPr>
          <w:rFonts w:ascii="Arial" w:hAnsi="Arial" w:cs="Arial"/>
          <w:bCs/>
        </w:rPr>
        <w:br/>
      </w:r>
      <w:r w:rsidR="00AA58D9" w:rsidRPr="002F67B9">
        <w:rPr>
          <w:rFonts w:ascii="Arial" w:hAnsi="Arial" w:cs="Arial"/>
          <w:bCs/>
          <w:i/>
        </w:rPr>
        <w:t xml:space="preserve">Published in CSPG Reservoir, Sep 2014 </w:t>
      </w:r>
      <w:r w:rsidR="00037447" w:rsidRPr="002F67B9">
        <w:rPr>
          <w:rFonts w:ascii="Arial" w:hAnsi="Arial" w:cs="Arial"/>
          <w:i/>
        </w:rPr>
        <w:br/>
      </w:r>
    </w:p>
    <w:p w14:paraId="5AB9C9A9" w14:textId="2C66E9AA" w:rsidR="00B36CC1" w:rsidRPr="002F67B9" w:rsidRDefault="007F711A" w:rsidP="002F67B9">
      <w:pPr>
        <w:pStyle w:val="NormalWeb"/>
        <w:spacing w:before="0" w:beforeAutospacing="0" w:after="0" w:afterAutospacing="0" w:line="276" w:lineRule="auto"/>
        <w:rPr>
          <w:rStyle w:val="Strong"/>
          <w:rFonts w:ascii="Arial" w:hAnsi="Arial" w:cs="Arial"/>
          <w:b w:val="0"/>
          <w:color w:val="000000"/>
        </w:rPr>
      </w:pPr>
      <w:r w:rsidRPr="002F67B9">
        <w:rPr>
          <w:rFonts w:ascii="Arial" w:hAnsi="Arial" w:cs="Arial"/>
          <w:b/>
          <w:bCs/>
          <w:caps/>
          <w:noProof/>
          <w:color w:val="000000"/>
          <w:lang w:val="en-CA" w:eastAsia="en-CA"/>
        </w:rPr>
        <w:drawing>
          <wp:anchor distT="0" distB="0" distL="114300" distR="114300" simplePos="0" relativeHeight="251656704" behindDoc="0" locked="0" layoutInCell="1" allowOverlap="1" wp14:anchorId="65A34CFD" wp14:editId="4227932F">
            <wp:simplePos x="0" y="0"/>
            <wp:positionH relativeFrom="column">
              <wp:align>right</wp:align>
            </wp:positionH>
            <wp:positionV relativeFrom="paragraph">
              <wp:posOffset>201930</wp:posOffset>
            </wp:positionV>
            <wp:extent cx="3376800" cy="2408400"/>
            <wp:effectExtent l="0" t="0" r="0" b="0"/>
            <wp:wrapSquare wrapText="bothSides"/>
            <wp:docPr id="261" name="Picture 261" descr="Figure01 Potash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Figure01 PotashPri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6800" cy="240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F67B9" w:rsidRPr="002F67B9">
        <w:rPr>
          <w:rStyle w:val="Strong"/>
          <w:rFonts w:ascii="Arial" w:hAnsi="Arial" w:cs="Arial"/>
          <w:caps/>
          <w:color w:val="000000"/>
        </w:rPr>
        <w:t>I</w:t>
      </w:r>
      <w:r w:rsidR="00605119" w:rsidRPr="002F67B9">
        <w:rPr>
          <w:rStyle w:val="Strong"/>
          <w:rFonts w:ascii="Arial" w:hAnsi="Arial" w:cs="Arial"/>
          <w:caps/>
          <w:color w:val="000000"/>
        </w:rPr>
        <w:t>NTRODUCTION</w:t>
      </w:r>
      <w:r w:rsidR="00605119" w:rsidRPr="002F67B9">
        <w:rPr>
          <w:rStyle w:val="Strong"/>
          <w:rFonts w:ascii="Arial" w:hAnsi="Arial" w:cs="Arial"/>
          <w:caps/>
          <w:color w:val="000000"/>
        </w:rPr>
        <w:br/>
      </w:r>
      <w:r w:rsidR="00605119" w:rsidRPr="002F67B9">
        <w:rPr>
          <w:rStyle w:val="Strong"/>
          <w:rFonts w:ascii="Arial" w:hAnsi="Arial" w:cs="Arial"/>
          <w:b w:val="0"/>
          <w:color w:val="000000"/>
        </w:rPr>
        <w:t>Potash was a hot topic in the early 1960’s when I was a young logging engineer assigned at Lanigan, SK with one operator and a bread</w:t>
      </w:r>
      <w:r w:rsidR="00AC78D2">
        <w:rPr>
          <w:rStyle w:val="Strong"/>
          <w:rFonts w:ascii="Arial" w:hAnsi="Arial" w:cs="Arial"/>
          <w:b w:val="0"/>
          <w:color w:val="000000"/>
        </w:rPr>
        <w:t xml:space="preserve"> </w:t>
      </w:r>
      <w:r w:rsidR="00605119" w:rsidRPr="002F67B9">
        <w:rPr>
          <w:rStyle w:val="Strong"/>
          <w:rFonts w:ascii="Arial" w:hAnsi="Arial" w:cs="Arial"/>
          <w:b w:val="0"/>
          <w:color w:val="000000"/>
        </w:rPr>
        <w:t xml:space="preserve">wagon (equivalent to today’s “cube-van”). We dripped oil-base mud into the motel and all along the Yellowhead from Saskatoon to Yorkton. </w:t>
      </w:r>
      <w:r w:rsidR="00B36CC1" w:rsidRPr="002F67B9">
        <w:rPr>
          <w:rStyle w:val="Strong"/>
          <w:rFonts w:ascii="Arial" w:hAnsi="Arial" w:cs="Arial"/>
          <w:b w:val="0"/>
          <w:color w:val="000000"/>
        </w:rPr>
        <w:t>P</w:t>
      </w:r>
      <w:r w:rsidR="00605119" w:rsidRPr="002F67B9">
        <w:rPr>
          <w:rStyle w:val="Strong"/>
          <w:rFonts w:ascii="Arial" w:hAnsi="Arial" w:cs="Arial"/>
          <w:b w:val="0"/>
          <w:color w:val="000000"/>
        </w:rPr>
        <w:t>otash price peaks</w:t>
      </w:r>
      <w:r w:rsidR="00C85D27" w:rsidRPr="002F67B9">
        <w:rPr>
          <w:rStyle w:val="Strong"/>
          <w:rFonts w:ascii="Arial" w:hAnsi="Arial" w:cs="Arial"/>
          <w:b w:val="0"/>
          <w:color w:val="000000"/>
        </w:rPr>
        <w:t xml:space="preserve"> </w:t>
      </w:r>
      <w:r w:rsidR="00B36CC1" w:rsidRPr="002F67B9">
        <w:rPr>
          <w:rStyle w:val="Strong"/>
          <w:rFonts w:ascii="Arial" w:hAnsi="Arial" w:cs="Arial"/>
          <w:b w:val="0"/>
          <w:color w:val="000000"/>
        </w:rPr>
        <w:t xml:space="preserve">in 2010 </w:t>
      </w:r>
      <w:r w:rsidR="00605119" w:rsidRPr="002F67B9">
        <w:rPr>
          <w:rStyle w:val="Strong"/>
          <w:rFonts w:ascii="Arial" w:hAnsi="Arial" w:cs="Arial"/>
          <w:b w:val="0"/>
          <w:color w:val="000000"/>
        </w:rPr>
        <w:t xml:space="preserve">encouraged a renewed interest in potash, </w:t>
      </w:r>
      <w:r w:rsidR="00B36CC1" w:rsidRPr="002F67B9">
        <w:rPr>
          <w:rStyle w:val="Strong"/>
          <w:rFonts w:ascii="Arial" w:hAnsi="Arial" w:cs="Arial"/>
          <w:b w:val="0"/>
          <w:color w:val="000000"/>
        </w:rPr>
        <w:t>especially on Indian</w:t>
      </w:r>
      <w:r w:rsidR="00C85D27" w:rsidRPr="002F67B9">
        <w:rPr>
          <w:rStyle w:val="Strong"/>
          <w:rFonts w:ascii="Arial" w:hAnsi="Arial" w:cs="Arial"/>
          <w:b w:val="0"/>
          <w:color w:val="000000"/>
        </w:rPr>
        <w:t xml:space="preserve"> </w:t>
      </w:r>
      <w:r w:rsidR="00D23157" w:rsidRPr="002F67B9">
        <w:rPr>
          <w:rStyle w:val="Strong"/>
          <w:rFonts w:ascii="Arial" w:hAnsi="Arial" w:cs="Arial"/>
          <w:b w:val="0"/>
          <w:color w:val="000000"/>
        </w:rPr>
        <w:t>R</w:t>
      </w:r>
      <w:r w:rsidR="00B36CC1" w:rsidRPr="002F67B9">
        <w:rPr>
          <w:rStyle w:val="Strong"/>
          <w:rFonts w:ascii="Arial" w:hAnsi="Arial" w:cs="Arial"/>
          <w:b w:val="0"/>
          <w:color w:val="000000"/>
        </w:rPr>
        <w:t>eserves and deeper plays where so</w:t>
      </w:r>
      <w:r w:rsidR="00302853" w:rsidRPr="002F67B9">
        <w:rPr>
          <w:rStyle w:val="Strong"/>
          <w:rFonts w:ascii="Arial" w:hAnsi="Arial" w:cs="Arial"/>
          <w:b w:val="0"/>
          <w:color w:val="000000"/>
        </w:rPr>
        <w:t>l</w:t>
      </w:r>
      <w:r w:rsidR="00B36CC1" w:rsidRPr="002F67B9">
        <w:rPr>
          <w:rStyle w:val="Strong"/>
          <w:rFonts w:ascii="Arial" w:hAnsi="Arial" w:cs="Arial"/>
          <w:b w:val="0"/>
          <w:color w:val="000000"/>
        </w:rPr>
        <w:t xml:space="preserve">ution mining is more practical than subsurface mining. </w:t>
      </w:r>
    </w:p>
    <w:p w14:paraId="247A3070" w14:textId="77777777" w:rsidR="00836F5F" w:rsidRPr="002F67B9" w:rsidRDefault="00836F5F" w:rsidP="002F67B9">
      <w:pPr>
        <w:pStyle w:val="NormalWeb"/>
        <w:spacing w:before="0" w:beforeAutospacing="0" w:after="0" w:afterAutospacing="0" w:line="276" w:lineRule="auto"/>
        <w:rPr>
          <w:rStyle w:val="Strong"/>
          <w:rFonts w:ascii="Arial" w:hAnsi="Arial" w:cs="Arial"/>
          <w:b w:val="0"/>
          <w:color w:val="000000"/>
        </w:rPr>
      </w:pPr>
    </w:p>
    <w:p w14:paraId="7EA0FC92" w14:textId="77777777" w:rsidR="00836F5F" w:rsidRPr="002F67B9" w:rsidRDefault="00143EC4" w:rsidP="002F67B9">
      <w:pPr>
        <w:pStyle w:val="NormalWeb"/>
        <w:spacing w:before="0" w:beforeAutospacing="0" w:after="0" w:afterAutospacing="0" w:line="276" w:lineRule="auto"/>
        <w:jc w:val="right"/>
        <w:rPr>
          <w:rStyle w:val="Strong"/>
          <w:rFonts w:ascii="Arial" w:hAnsi="Arial" w:cs="Arial"/>
          <w:b w:val="0"/>
          <w:i/>
          <w:color w:val="000000"/>
        </w:rPr>
      </w:pPr>
      <w:r w:rsidRPr="002F67B9">
        <w:rPr>
          <w:rStyle w:val="Strong"/>
          <w:rFonts w:ascii="Arial" w:hAnsi="Arial" w:cs="Arial"/>
          <w:b w:val="0"/>
          <w:i/>
          <w:color w:val="000000"/>
        </w:rPr>
        <w:t xml:space="preserve">Figure 1: </w:t>
      </w:r>
      <w:r w:rsidR="00836F5F" w:rsidRPr="002F67B9">
        <w:rPr>
          <w:rStyle w:val="Strong"/>
          <w:rFonts w:ascii="Arial" w:hAnsi="Arial" w:cs="Arial"/>
          <w:b w:val="0"/>
          <w:i/>
          <w:color w:val="000000"/>
        </w:rPr>
        <w:t xml:space="preserve">Recent potash price per </w:t>
      </w:r>
      <w:proofErr w:type="spellStart"/>
      <w:r w:rsidR="00836F5F" w:rsidRPr="002F67B9">
        <w:rPr>
          <w:rStyle w:val="Strong"/>
          <w:rFonts w:ascii="Arial" w:hAnsi="Arial" w:cs="Arial"/>
          <w:b w:val="0"/>
          <w:i/>
          <w:color w:val="000000"/>
        </w:rPr>
        <w:t>tonne</w:t>
      </w:r>
      <w:proofErr w:type="spellEnd"/>
      <w:r w:rsidR="00836F5F" w:rsidRPr="002F67B9">
        <w:rPr>
          <w:rStyle w:val="Strong"/>
          <w:rFonts w:ascii="Arial" w:hAnsi="Arial" w:cs="Arial"/>
          <w:b w:val="0"/>
          <w:i/>
          <w:color w:val="000000"/>
        </w:rPr>
        <w:t xml:space="preserve"> FOB</w:t>
      </w:r>
      <w:r w:rsidRPr="002F67B9">
        <w:rPr>
          <w:rStyle w:val="Strong"/>
          <w:rFonts w:ascii="Arial" w:hAnsi="Arial" w:cs="Arial"/>
          <w:b w:val="0"/>
          <w:i/>
          <w:color w:val="000000"/>
        </w:rPr>
        <w:br/>
      </w:r>
      <w:r w:rsidR="00836F5F" w:rsidRPr="002F67B9">
        <w:rPr>
          <w:rStyle w:val="Strong"/>
          <w:rFonts w:ascii="Arial" w:hAnsi="Arial" w:cs="Arial"/>
          <w:b w:val="0"/>
          <w:i/>
          <w:color w:val="000000"/>
        </w:rPr>
        <w:t xml:space="preserve"> Vancouver, courtesy InfoMine.com </w:t>
      </w:r>
      <w:r w:rsidR="00836F5F" w:rsidRPr="002F67B9">
        <w:rPr>
          <w:rStyle w:val="Strong"/>
          <w:rFonts w:ascii="Arial" w:hAnsi="Arial" w:cs="Arial"/>
          <w:b w:val="0"/>
          <w:i/>
          <w:color w:val="000000"/>
        </w:rPr>
        <w:sym w:font="Wingdings" w:char="F0E8"/>
      </w:r>
    </w:p>
    <w:p w14:paraId="01065C9D" w14:textId="77777777" w:rsidR="00B36CC1" w:rsidRPr="002F67B9" w:rsidRDefault="00B36CC1" w:rsidP="002F67B9">
      <w:pPr>
        <w:pStyle w:val="NormalWeb"/>
        <w:spacing w:before="0" w:beforeAutospacing="0" w:after="0" w:afterAutospacing="0" w:line="276" w:lineRule="auto"/>
        <w:rPr>
          <w:rStyle w:val="Strong"/>
          <w:rFonts w:ascii="Arial" w:hAnsi="Arial" w:cs="Arial"/>
          <w:b w:val="0"/>
          <w:color w:val="000000"/>
        </w:rPr>
      </w:pPr>
    </w:p>
    <w:p w14:paraId="6C1B91FA" w14:textId="77777777" w:rsidR="00B36CC1" w:rsidRPr="002F67B9" w:rsidRDefault="00B36CC1" w:rsidP="002F67B9">
      <w:pPr>
        <w:pStyle w:val="NormalWeb"/>
        <w:spacing w:before="0" w:beforeAutospacing="0" w:after="0" w:afterAutospacing="0" w:line="276" w:lineRule="auto"/>
        <w:rPr>
          <w:rStyle w:val="Strong"/>
          <w:rFonts w:ascii="Arial" w:hAnsi="Arial" w:cs="Arial"/>
          <w:b w:val="0"/>
          <w:color w:val="000000"/>
        </w:rPr>
      </w:pPr>
      <w:r w:rsidRPr="002F67B9">
        <w:rPr>
          <w:rStyle w:val="Strong"/>
          <w:rFonts w:ascii="Arial" w:hAnsi="Arial" w:cs="Arial"/>
          <w:b w:val="0"/>
          <w:color w:val="000000"/>
        </w:rPr>
        <w:t>The price peak in 2010 has subsided to more rational levels but exploration</w:t>
      </w:r>
      <w:r w:rsidR="00836F5F" w:rsidRPr="002F67B9">
        <w:rPr>
          <w:rStyle w:val="Strong"/>
          <w:rFonts w:ascii="Arial" w:hAnsi="Arial" w:cs="Arial"/>
          <w:b w:val="0"/>
          <w:color w:val="000000"/>
        </w:rPr>
        <w:t xml:space="preserve"> and</w:t>
      </w:r>
      <w:r w:rsidRPr="002F67B9">
        <w:rPr>
          <w:rStyle w:val="Strong"/>
          <w:rFonts w:ascii="Arial" w:hAnsi="Arial" w:cs="Arial"/>
          <w:b w:val="0"/>
          <w:color w:val="000000"/>
        </w:rPr>
        <w:t xml:space="preserve"> development</w:t>
      </w:r>
      <w:r w:rsidR="00836F5F" w:rsidRPr="002F67B9">
        <w:rPr>
          <w:rStyle w:val="Strong"/>
          <w:rFonts w:ascii="Arial" w:hAnsi="Arial" w:cs="Arial"/>
          <w:b w:val="0"/>
          <w:color w:val="000000"/>
        </w:rPr>
        <w:t xml:space="preserve">, not to mention </w:t>
      </w:r>
      <w:r w:rsidR="00143EC4" w:rsidRPr="002F67B9">
        <w:rPr>
          <w:rStyle w:val="Strong"/>
          <w:rFonts w:ascii="Arial" w:hAnsi="Arial" w:cs="Arial"/>
          <w:b w:val="0"/>
          <w:color w:val="000000"/>
        </w:rPr>
        <w:t xml:space="preserve">talk of </w:t>
      </w:r>
      <w:r w:rsidR="00836F5F" w:rsidRPr="002F67B9">
        <w:rPr>
          <w:rStyle w:val="Strong"/>
          <w:rFonts w:ascii="Arial" w:hAnsi="Arial" w:cs="Arial"/>
          <w:b w:val="0"/>
          <w:color w:val="000000"/>
        </w:rPr>
        <w:t>acquisitions and mergers, are still active.</w:t>
      </w:r>
      <w:r w:rsidR="00B04CF8" w:rsidRPr="002F67B9">
        <w:rPr>
          <w:rStyle w:val="Strong"/>
          <w:rFonts w:ascii="Arial" w:hAnsi="Arial" w:cs="Arial"/>
          <w:b w:val="0"/>
          <w:color w:val="000000"/>
        </w:rPr>
        <w:t xml:space="preserve"> This level of interest has generated a modest amount of petrophysical analysis, using logs that date from the mid-1960’s to the present.</w:t>
      </w:r>
    </w:p>
    <w:p w14:paraId="78BC24B2" w14:textId="77777777" w:rsidR="003E613A" w:rsidRPr="002F67B9" w:rsidRDefault="003E613A" w:rsidP="002F67B9">
      <w:pPr>
        <w:pStyle w:val="NormalWeb"/>
        <w:spacing w:before="0" w:beforeAutospacing="0" w:after="0" w:afterAutospacing="0" w:line="276" w:lineRule="auto"/>
        <w:rPr>
          <w:rStyle w:val="Strong"/>
          <w:rFonts w:ascii="Arial" w:hAnsi="Arial" w:cs="Arial"/>
          <w:b w:val="0"/>
          <w:color w:val="000000"/>
        </w:rPr>
      </w:pPr>
    </w:p>
    <w:p w14:paraId="64D8B63A" w14:textId="77777777" w:rsidR="003E613A" w:rsidRPr="002F67B9" w:rsidRDefault="007F711A" w:rsidP="002F67B9">
      <w:pPr>
        <w:pStyle w:val="NormalWeb"/>
        <w:spacing w:line="276" w:lineRule="auto"/>
        <w:rPr>
          <w:rFonts w:ascii="Arial" w:hAnsi="Arial" w:cs="Arial"/>
          <w:bCs/>
        </w:rPr>
      </w:pPr>
      <w:r w:rsidRPr="002F67B9">
        <w:rPr>
          <w:rFonts w:ascii="Arial" w:hAnsi="Arial" w:cs="Arial"/>
          <w:bCs/>
          <w:noProof/>
          <w:color w:val="000000"/>
          <w:lang w:val="en-CA" w:eastAsia="en-CA"/>
        </w:rPr>
        <w:drawing>
          <wp:anchor distT="0" distB="0" distL="45720" distR="45720" simplePos="0" relativeHeight="251657728" behindDoc="0" locked="0" layoutInCell="1" allowOverlap="0" wp14:anchorId="19E70BFF" wp14:editId="4FC3F95F">
            <wp:simplePos x="0" y="0"/>
            <wp:positionH relativeFrom="column">
              <wp:posOffset>29210</wp:posOffset>
            </wp:positionH>
            <wp:positionV relativeFrom="line">
              <wp:posOffset>177800</wp:posOffset>
            </wp:positionV>
            <wp:extent cx="2143125" cy="1990725"/>
            <wp:effectExtent l="38100" t="38100" r="47625" b="47625"/>
            <wp:wrapSquare wrapText="bothSides"/>
            <wp:docPr id="262" name="Picture 262" descr="Potas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Potash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1990725"/>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3E613A" w:rsidRPr="002F67B9">
        <w:rPr>
          <w:rFonts w:ascii="Arial" w:hAnsi="Arial" w:cs="Arial"/>
          <w:bCs/>
        </w:rPr>
        <w:t xml:space="preserve">The major source of potash in the world is the Devonian Prairie Evaporite Formation in Saskatchewan, which provides 11 million </w:t>
      </w:r>
      <w:proofErr w:type="spellStart"/>
      <w:r w:rsidR="003E613A" w:rsidRPr="002F67B9">
        <w:rPr>
          <w:rFonts w:ascii="Arial" w:hAnsi="Arial" w:cs="Arial"/>
          <w:bCs/>
        </w:rPr>
        <w:t>ton</w:t>
      </w:r>
      <w:r w:rsidR="0024258A" w:rsidRPr="002F67B9">
        <w:rPr>
          <w:rFonts w:ascii="Arial" w:hAnsi="Arial" w:cs="Arial"/>
          <w:bCs/>
        </w:rPr>
        <w:t>ne</w:t>
      </w:r>
      <w:r w:rsidR="003E613A" w:rsidRPr="002F67B9">
        <w:rPr>
          <w:rFonts w:ascii="Arial" w:hAnsi="Arial" w:cs="Arial"/>
          <w:bCs/>
        </w:rPr>
        <w:t>s</w:t>
      </w:r>
      <w:proofErr w:type="spellEnd"/>
      <w:r w:rsidR="003E613A" w:rsidRPr="002F67B9">
        <w:rPr>
          <w:rFonts w:ascii="Arial" w:hAnsi="Arial" w:cs="Arial"/>
          <w:bCs/>
        </w:rPr>
        <w:t xml:space="preserve"> per year. Russia is second at 6.9 million and the USA (mostly from New Mexico) at 1.2 million </w:t>
      </w:r>
      <w:proofErr w:type="spellStart"/>
      <w:r w:rsidR="003E613A" w:rsidRPr="002F67B9">
        <w:rPr>
          <w:rFonts w:ascii="Arial" w:hAnsi="Arial" w:cs="Arial"/>
          <w:bCs/>
        </w:rPr>
        <w:t>ton</w:t>
      </w:r>
      <w:r w:rsidR="0024258A" w:rsidRPr="002F67B9">
        <w:rPr>
          <w:rFonts w:ascii="Arial" w:hAnsi="Arial" w:cs="Arial"/>
          <w:bCs/>
        </w:rPr>
        <w:t>ne</w:t>
      </w:r>
      <w:r w:rsidR="003E613A" w:rsidRPr="002F67B9">
        <w:rPr>
          <w:rFonts w:ascii="Arial" w:hAnsi="Arial" w:cs="Arial"/>
          <w:bCs/>
        </w:rPr>
        <w:t>s</w:t>
      </w:r>
      <w:proofErr w:type="spellEnd"/>
      <w:r w:rsidR="003E613A" w:rsidRPr="002F67B9">
        <w:rPr>
          <w:rFonts w:ascii="Arial" w:hAnsi="Arial" w:cs="Arial"/>
          <w:bCs/>
        </w:rPr>
        <w:t xml:space="preserve"> per year. A dozen other countries in Europe, Middle East, and South America produce potash from evaporite deposits.</w:t>
      </w:r>
    </w:p>
    <w:p w14:paraId="68D3A8C2" w14:textId="77777777" w:rsidR="002856ED" w:rsidRPr="002F67B9" w:rsidRDefault="002856ED" w:rsidP="002F67B9">
      <w:pPr>
        <w:pStyle w:val="NormalWeb"/>
        <w:spacing w:line="276" w:lineRule="auto"/>
        <w:rPr>
          <w:i/>
          <w:iCs/>
        </w:rPr>
      </w:pPr>
      <w:r w:rsidRPr="002F67B9">
        <w:rPr>
          <w:rFonts w:ascii="Arial" w:hAnsi="Arial" w:cs="Arial"/>
          <w:bCs/>
        </w:rPr>
        <w:sym w:font="Wingdings" w:char="F0E7"/>
      </w:r>
      <w:r w:rsidRPr="002F67B9">
        <w:rPr>
          <w:rFonts w:ascii="Arial" w:hAnsi="Arial" w:cs="Arial"/>
          <w:bCs/>
        </w:rPr>
        <w:t xml:space="preserve"> </w:t>
      </w:r>
      <w:r w:rsidRPr="002F67B9">
        <w:rPr>
          <w:rFonts w:ascii="Arial" w:hAnsi="Arial" w:cs="Arial"/>
          <w:bCs/>
          <w:i/>
          <w:iCs/>
        </w:rPr>
        <w:t>Figure 2: Potash production statistics 2010</w:t>
      </w:r>
    </w:p>
    <w:p w14:paraId="1AFE0494" w14:textId="77777777" w:rsidR="00271ECF" w:rsidRPr="002F67B9" w:rsidRDefault="00271ECF" w:rsidP="002F67B9">
      <w:pPr>
        <w:pStyle w:val="NormalWeb"/>
        <w:spacing w:before="0" w:beforeAutospacing="0" w:after="0" w:afterAutospacing="0" w:line="276" w:lineRule="auto"/>
        <w:rPr>
          <w:rFonts w:ascii="Arial" w:hAnsi="Arial" w:cs="Arial"/>
        </w:rPr>
      </w:pPr>
      <w:r w:rsidRPr="002F67B9">
        <w:rPr>
          <w:rFonts w:ascii="Arial" w:hAnsi="Arial" w:cs="Arial"/>
          <w:bCs/>
        </w:rPr>
        <w:t xml:space="preserve">The main potash salts are sylvite, </w:t>
      </w:r>
      <w:proofErr w:type="spellStart"/>
      <w:r w:rsidRPr="002F67B9">
        <w:rPr>
          <w:rFonts w:ascii="Arial" w:hAnsi="Arial" w:cs="Arial"/>
          <w:bCs/>
        </w:rPr>
        <w:t>carnalite</w:t>
      </w:r>
      <w:proofErr w:type="spellEnd"/>
      <w:r w:rsidRPr="002F67B9">
        <w:rPr>
          <w:rFonts w:ascii="Arial" w:hAnsi="Arial" w:cs="Arial"/>
          <w:bCs/>
        </w:rPr>
        <w:t>, langbeinite, and polyhalite, mixed in varying concentrations with halite (rock salt). The main use of potash is as fertilizer.</w:t>
      </w:r>
      <w:r w:rsidR="00143EC4" w:rsidRPr="002F67B9">
        <w:rPr>
          <w:rFonts w:ascii="Arial" w:hAnsi="Arial" w:cs="Arial"/>
          <w:bCs/>
        </w:rPr>
        <w:t xml:space="preserve"> </w:t>
      </w:r>
      <w:r w:rsidRPr="002F67B9">
        <w:rPr>
          <w:rFonts w:ascii="Arial" w:hAnsi="Arial" w:cs="Arial"/>
          <w:bCs/>
        </w:rPr>
        <w:t xml:space="preserve">Sylvinite is the most important ore for the production of potash in North America. Most Canadian operations mine sylvinite with </w:t>
      </w:r>
      <w:r w:rsidRPr="002F67B9">
        <w:rPr>
          <w:rFonts w:ascii="Arial" w:hAnsi="Arial" w:cs="Arial"/>
          <w:bCs/>
        </w:rPr>
        <w:lastRenderedPageBreak/>
        <w:t xml:space="preserve">proportions of about 31% </w:t>
      </w:r>
      <w:proofErr w:type="spellStart"/>
      <w:r w:rsidRPr="002F67B9">
        <w:rPr>
          <w:rFonts w:ascii="Arial" w:hAnsi="Arial" w:cs="Arial"/>
          <w:bCs/>
        </w:rPr>
        <w:t>KCl</w:t>
      </w:r>
      <w:proofErr w:type="spellEnd"/>
      <w:r w:rsidRPr="002F67B9">
        <w:rPr>
          <w:rFonts w:ascii="Arial" w:hAnsi="Arial" w:cs="Arial"/>
          <w:bCs/>
        </w:rPr>
        <w:t xml:space="preserve"> and 66% NaCl with the balance being insoluble clays, anhydrite, and in some locations carnallite. </w:t>
      </w:r>
    </w:p>
    <w:p w14:paraId="1E025D09" w14:textId="77777777" w:rsidR="00C96F0B" w:rsidRPr="002F67B9" w:rsidRDefault="00C96F0B" w:rsidP="002F67B9">
      <w:pPr>
        <w:pStyle w:val="NormalWeb"/>
        <w:spacing w:before="0" w:beforeAutospacing="0" w:after="0" w:afterAutospacing="0" w:line="276" w:lineRule="auto"/>
        <w:rPr>
          <w:rFonts w:ascii="Arial" w:hAnsi="Arial" w:cs="Arial"/>
          <w:bCs/>
          <w:caps/>
          <w:color w:val="FF0000"/>
        </w:rPr>
      </w:pPr>
    </w:p>
    <w:p w14:paraId="5BB7EFBE" w14:textId="77777777" w:rsidR="00271ECF" w:rsidRPr="002F67B9" w:rsidRDefault="00E51F67" w:rsidP="002F67B9">
      <w:pPr>
        <w:pStyle w:val="NormalWeb"/>
        <w:spacing w:before="0" w:beforeAutospacing="0" w:after="0" w:afterAutospacing="0" w:line="276" w:lineRule="auto"/>
        <w:rPr>
          <w:rFonts w:ascii="Arial" w:hAnsi="Arial" w:cs="Arial"/>
        </w:rPr>
      </w:pPr>
      <w:r w:rsidRPr="002F67B9">
        <w:rPr>
          <w:rStyle w:val="Strong"/>
          <w:rFonts w:ascii="Arial" w:hAnsi="Arial" w:cs="Arial"/>
          <w:caps/>
          <w:color w:val="000000"/>
        </w:rPr>
        <w:t xml:space="preserve">PETROPHYSICAL </w:t>
      </w:r>
      <w:r w:rsidR="00271ECF" w:rsidRPr="002F67B9">
        <w:rPr>
          <w:rStyle w:val="Strong"/>
          <w:rFonts w:ascii="Arial" w:hAnsi="Arial" w:cs="Arial"/>
          <w:caps/>
          <w:color w:val="000000"/>
        </w:rPr>
        <w:t xml:space="preserve">PROPERTIES OF POTASH </w:t>
      </w:r>
      <w:r w:rsidR="002856ED" w:rsidRPr="002F67B9">
        <w:rPr>
          <w:rStyle w:val="Strong"/>
          <w:rFonts w:ascii="Arial" w:hAnsi="Arial" w:cs="Arial"/>
          <w:caps/>
          <w:color w:val="000000"/>
        </w:rPr>
        <w:t>MINERALS</w:t>
      </w:r>
      <w:r w:rsidR="00271ECF" w:rsidRPr="002F67B9">
        <w:rPr>
          <w:rFonts w:ascii="Arial" w:hAnsi="Arial" w:cs="Arial"/>
          <w:bCs/>
          <w:caps/>
          <w:color w:val="000000"/>
        </w:rPr>
        <w:br/>
      </w:r>
      <w:r w:rsidR="00271ECF" w:rsidRPr="002F67B9">
        <w:rPr>
          <w:rFonts w:ascii="Arial" w:hAnsi="Arial" w:cs="Arial"/>
          <w:bCs/>
        </w:rPr>
        <w:t>Potassium is radioactive so the gamma ray log is used to identify potash bearing zones. Potash minerals have distinctive physical properties on other logs, so conventional multi-mineral models can be used to determine the mineral mixture, just as we do in carbonates in the oil and gas environment.</w:t>
      </w:r>
    </w:p>
    <w:p w14:paraId="3A75452F" w14:textId="77777777" w:rsidR="00271ECF" w:rsidRPr="002F67B9" w:rsidRDefault="00271ECF" w:rsidP="002F67B9">
      <w:pPr>
        <w:pStyle w:val="NormalWeb"/>
        <w:spacing w:before="0" w:beforeAutospacing="0" w:after="0" w:afterAutospacing="0" w:line="276" w:lineRule="auto"/>
        <w:rPr>
          <w:rFonts w:ascii="Arial" w:hAnsi="Arial" w:cs="Arial"/>
        </w:rPr>
      </w:pPr>
    </w:p>
    <w:p w14:paraId="3FEBEAE6" w14:textId="77777777" w:rsidR="00AA58D9" w:rsidRPr="002F67B9" w:rsidRDefault="00AA58D9" w:rsidP="002F67B9">
      <w:pPr>
        <w:pStyle w:val="NormalWeb"/>
        <w:spacing w:before="0" w:beforeAutospacing="0" w:after="0" w:afterAutospacing="0" w:line="276" w:lineRule="auto"/>
        <w:rPr>
          <w:rFonts w:ascii="Arial" w:hAnsi="Arial" w:cs="Arial"/>
        </w:rPr>
      </w:pPr>
    </w:p>
    <w:p w14:paraId="589F56B0" w14:textId="77777777" w:rsidR="00AA58D9" w:rsidRPr="002F67B9" w:rsidRDefault="00AA58D9" w:rsidP="002F67B9">
      <w:pPr>
        <w:pStyle w:val="NormalWeb"/>
        <w:spacing w:before="0" w:beforeAutospacing="0" w:after="0" w:afterAutospacing="0" w:line="276" w:lineRule="auto"/>
        <w:rPr>
          <w:rFonts w:ascii="Arial" w:hAnsi="Arial" w:cs="Arial"/>
        </w:rPr>
      </w:pPr>
    </w:p>
    <w:p w14:paraId="73CD95AC" w14:textId="77777777" w:rsidR="00AA58D9" w:rsidRPr="002F67B9" w:rsidRDefault="00AA58D9" w:rsidP="002F67B9">
      <w:pPr>
        <w:pStyle w:val="NormalWeb"/>
        <w:spacing w:before="0" w:beforeAutospacing="0" w:after="0" w:afterAutospacing="0" w:line="276" w:lineRule="auto"/>
        <w:rPr>
          <w:rFonts w:ascii="Arial" w:hAnsi="Arial" w:cs="Arial"/>
        </w:rPr>
      </w:pPr>
    </w:p>
    <w:p w14:paraId="30F3CB5D" w14:textId="77777777" w:rsidR="00271ECF" w:rsidRPr="002F67B9" w:rsidRDefault="003A7636" w:rsidP="002F67B9">
      <w:pPr>
        <w:pStyle w:val="NormalWeb"/>
        <w:pBdr>
          <w:top w:val="single" w:sz="24" w:space="1" w:color="000000"/>
          <w:left w:val="single" w:sz="24" w:space="4" w:color="000000"/>
          <w:bottom w:val="single" w:sz="24" w:space="1" w:color="000000"/>
          <w:right w:val="single" w:sz="24" w:space="4" w:color="000000"/>
        </w:pBdr>
        <w:shd w:val="clear" w:color="auto" w:fill="0000FF"/>
        <w:spacing w:before="0" w:beforeAutospacing="0" w:after="0" w:afterAutospacing="0" w:line="276" w:lineRule="auto"/>
        <w:rPr>
          <w:sz w:val="20"/>
          <w:szCs w:val="20"/>
        </w:rPr>
      </w:pPr>
      <w:r w:rsidRPr="002F67B9">
        <w:rPr>
          <w:rFonts w:ascii="Arial" w:hAnsi="Arial" w:cs="Arial"/>
          <w:bCs/>
          <w:color w:val="FFFFFF"/>
        </w:rPr>
        <w:t xml:space="preserve">Table </w:t>
      </w:r>
      <w:r w:rsidR="002F5D71" w:rsidRPr="002F67B9">
        <w:rPr>
          <w:rFonts w:ascii="Arial" w:hAnsi="Arial" w:cs="Arial"/>
          <w:bCs/>
          <w:color w:val="FFFFFF"/>
        </w:rPr>
        <w:t>1</w:t>
      </w:r>
      <w:r w:rsidRPr="002F67B9">
        <w:rPr>
          <w:rFonts w:ascii="Arial" w:hAnsi="Arial" w:cs="Arial"/>
          <w:bCs/>
          <w:color w:val="FFFFFF"/>
        </w:rPr>
        <w:t xml:space="preserve">                          </w:t>
      </w:r>
      <w:r w:rsidR="00271ECF" w:rsidRPr="002F67B9">
        <w:rPr>
          <w:rFonts w:ascii="Arial" w:hAnsi="Arial" w:cs="Arial"/>
          <w:bCs/>
          <w:color w:val="FFFFFF"/>
        </w:rPr>
        <w:t>POTASH  MINERAL  PROPERTIES</w:t>
      </w:r>
      <w:r w:rsidR="00271ECF" w:rsidRPr="002F67B9">
        <w:rPr>
          <w:rFonts w:ascii="Arial" w:hAnsi="Arial" w:cs="Arial"/>
          <w:bCs/>
          <w:color w:val="FFFFFF"/>
        </w:rPr>
        <w:br/>
      </w:r>
      <w:r w:rsidR="00271ECF" w:rsidRPr="002F67B9">
        <w:rPr>
          <w:rFonts w:ascii="Arial" w:hAnsi="Arial" w:cs="Arial"/>
          <w:bCs/>
          <w:color w:val="FFFFFF"/>
          <w:sz w:val="20"/>
          <w:szCs w:val="20"/>
        </w:rPr>
        <w:t xml:space="preserve">Mineral                    Halite  Sylvite   Carnallite    Insolubles   Langbeinite       Polyhalite     Units                </w:t>
      </w:r>
    </w:p>
    <w:p w14:paraId="13CD8D93" w14:textId="77777777" w:rsidR="00271ECF" w:rsidRPr="002F67B9" w:rsidRDefault="00271ECF" w:rsidP="002F67B9">
      <w:pPr>
        <w:pStyle w:val="NormalWeb"/>
        <w:pBdr>
          <w:top w:val="single" w:sz="24" w:space="1" w:color="000000"/>
          <w:left w:val="single" w:sz="24" w:space="4" w:color="000000"/>
          <w:bottom w:val="single" w:sz="24" w:space="1" w:color="000000"/>
          <w:right w:val="single" w:sz="24" w:space="4" w:color="000000"/>
        </w:pBdr>
        <w:spacing w:before="0" w:beforeAutospacing="0" w:after="0" w:afterAutospacing="0" w:line="276" w:lineRule="auto"/>
      </w:pPr>
      <w:r w:rsidRPr="002F67B9">
        <w:rPr>
          <w:rFonts w:ascii="Arial" w:hAnsi="Arial" w:cs="Arial"/>
          <w:bCs/>
          <w:sz w:val="20"/>
          <w:szCs w:val="20"/>
        </w:rPr>
        <w:t xml:space="preserve">Formula                       NaCl    </w:t>
      </w:r>
      <w:proofErr w:type="spellStart"/>
      <w:r w:rsidRPr="002F67B9">
        <w:rPr>
          <w:rFonts w:ascii="Arial" w:hAnsi="Arial" w:cs="Arial"/>
          <w:bCs/>
          <w:sz w:val="20"/>
          <w:szCs w:val="20"/>
        </w:rPr>
        <w:t>KCl</w:t>
      </w:r>
      <w:proofErr w:type="spellEnd"/>
      <w:r w:rsidRPr="002F67B9">
        <w:rPr>
          <w:rFonts w:ascii="Arial" w:hAnsi="Arial" w:cs="Arial"/>
          <w:bCs/>
          <w:sz w:val="20"/>
          <w:szCs w:val="20"/>
        </w:rPr>
        <w:t>   KMgCl</w:t>
      </w:r>
      <w:r w:rsidRPr="002F67B9">
        <w:rPr>
          <w:rFonts w:ascii="Arial" w:hAnsi="Arial" w:cs="Arial"/>
          <w:bCs/>
          <w:sz w:val="20"/>
          <w:szCs w:val="20"/>
          <w:vertAlign w:val="subscript"/>
        </w:rPr>
        <w:t>3</w:t>
      </w:r>
      <w:r w:rsidRPr="002F67B9">
        <w:rPr>
          <w:rFonts w:ascii="Arial" w:hAnsi="Arial" w:cs="Arial"/>
          <w:bCs/>
          <w:sz w:val="20"/>
          <w:szCs w:val="20"/>
        </w:rPr>
        <w:t>●6H</w:t>
      </w:r>
      <w:r w:rsidRPr="002F67B9">
        <w:rPr>
          <w:rFonts w:ascii="Arial" w:hAnsi="Arial" w:cs="Arial"/>
          <w:bCs/>
          <w:sz w:val="20"/>
          <w:szCs w:val="20"/>
          <w:vertAlign w:val="subscript"/>
        </w:rPr>
        <w:t>2</w:t>
      </w:r>
      <w:r w:rsidRPr="002F67B9">
        <w:rPr>
          <w:rFonts w:ascii="Arial" w:hAnsi="Arial" w:cs="Arial"/>
          <w:bCs/>
          <w:sz w:val="20"/>
          <w:szCs w:val="20"/>
        </w:rPr>
        <w:t>O   Clay  K</w:t>
      </w:r>
      <w:r w:rsidRPr="002F67B9">
        <w:rPr>
          <w:rFonts w:ascii="Arial" w:hAnsi="Arial" w:cs="Arial"/>
          <w:bCs/>
          <w:sz w:val="20"/>
          <w:szCs w:val="20"/>
          <w:vertAlign w:val="subscript"/>
        </w:rPr>
        <w:t>2</w:t>
      </w:r>
      <w:r w:rsidRPr="002F67B9">
        <w:rPr>
          <w:rFonts w:ascii="Arial" w:hAnsi="Arial" w:cs="Arial"/>
          <w:bCs/>
          <w:sz w:val="20"/>
          <w:szCs w:val="20"/>
        </w:rPr>
        <w:t>SO</w:t>
      </w:r>
      <w:r w:rsidRPr="002F67B9">
        <w:rPr>
          <w:rFonts w:ascii="Arial" w:hAnsi="Arial" w:cs="Arial"/>
          <w:bCs/>
          <w:sz w:val="20"/>
          <w:szCs w:val="20"/>
          <w:vertAlign w:val="subscript"/>
        </w:rPr>
        <w:t>4</w:t>
      </w:r>
      <w:r w:rsidRPr="002F67B9">
        <w:rPr>
          <w:rFonts w:ascii="Arial" w:hAnsi="Arial" w:cs="Arial"/>
          <w:bCs/>
          <w:sz w:val="20"/>
          <w:szCs w:val="20"/>
        </w:rPr>
        <w:t>Mg</w:t>
      </w:r>
      <w:r w:rsidRPr="002F67B9">
        <w:rPr>
          <w:rFonts w:ascii="Arial" w:hAnsi="Arial" w:cs="Arial"/>
          <w:bCs/>
          <w:sz w:val="20"/>
          <w:szCs w:val="20"/>
          <w:vertAlign w:val="subscript"/>
        </w:rPr>
        <w:t>2</w:t>
      </w:r>
      <w:r w:rsidRPr="002F67B9">
        <w:rPr>
          <w:rFonts w:ascii="Arial" w:hAnsi="Arial" w:cs="Arial"/>
          <w:bCs/>
          <w:sz w:val="20"/>
          <w:szCs w:val="20"/>
        </w:rPr>
        <w:t>(SO</w:t>
      </w:r>
      <w:r w:rsidRPr="002F67B9">
        <w:rPr>
          <w:rFonts w:ascii="Arial" w:hAnsi="Arial" w:cs="Arial"/>
          <w:bCs/>
          <w:sz w:val="20"/>
          <w:szCs w:val="20"/>
          <w:vertAlign w:val="subscript"/>
        </w:rPr>
        <w:t>4</w:t>
      </w:r>
      <w:r w:rsidRPr="002F67B9">
        <w:rPr>
          <w:rFonts w:ascii="Arial" w:hAnsi="Arial" w:cs="Arial"/>
          <w:bCs/>
          <w:sz w:val="20"/>
          <w:szCs w:val="20"/>
        </w:rPr>
        <w:t>)</w:t>
      </w:r>
      <w:r w:rsidRPr="002F67B9">
        <w:rPr>
          <w:rFonts w:ascii="Arial" w:hAnsi="Arial" w:cs="Arial"/>
          <w:bCs/>
          <w:sz w:val="20"/>
          <w:szCs w:val="20"/>
          <w:vertAlign w:val="subscript"/>
        </w:rPr>
        <w:t>2</w:t>
      </w:r>
      <w:r w:rsidRPr="002F67B9">
        <w:rPr>
          <w:rFonts w:ascii="Arial" w:hAnsi="Arial" w:cs="Arial"/>
          <w:bCs/>
          <w:sz w:val="20"/>
          <w:szCs w:val="20"/>
        </w:rPr>
        <w:t>  K</w:t>
      </w:r>
      <w:r w:rsidRPr="002F67B9">
        <w:rPr>
          <w:rFonts w:ascii="Arial" w:hAnsi="Arial" w:cs="Arial"/>
          <w:bCs/>
          <w:sz w:val="20"/>
          <w:szCs w:val="20"/>
          <w:vertAlign w:val="subscript"/>
        </w:rPr>
        <w:t>2</w:t>
      </w:r>
      <w:r w:rsidRPr="002F67B9">
        <w:rPr>
          <w:rFonts w:ascii="Arial" w:hAnsi="Arial" w:cs="Arial"/>
          <w:bCs/>
          <w:sz w:val="20"/>
          <w:szCs w:val="20"/>
        </w:rPr>
        <w:t>SO</w:t>
      </w:r>
      <w:r w:rsidRPr="002F67B9">
        <w:rPr>
          <w:rFonts w:ascii="Arial" w:hAnsi="Arial" w:cs="Arial"/>
          <w:bCs/>
          <w:sz w:val="20"/>
          <w:szCs w:val="20"/>
          <w:vertAlign w:val="subscript"/>
        </w:rPr>
        <w:t>4</w:t>
      </w:r>
      <w:r w:rsidRPr="002F67B9">
        <w:rPr>
          <w:rFonts w:ascii="Arial" w:hAnsi="Arial" w:cs="Arial"/>
          <w:bCs/>
          <w:sz w:val="20"/>
          <w:szCs w:val="20"/>
        </w:rPr>
        <w:t>Mg(SO</w:t>
      </w:r>
      <w:r w:rsidRPr="002F67B9">
        <w:rPr>
          <w:rFonts w:ascii="Arial" w:hAnsi="Arial" w:cs="Arial"/>
          <w:bCs/>
          <w:sz w:val="20"/>
          <w:szCs w:val="20"/>
          <w:vertAlign w:val="subscript"/>
        </w:rPr>
        <w:t>4</w:t>
      </w:r>
      <w:r w:rsidRPr="002F67B9">
        <w:rPr>
          <w:rFonts w:ascii="Arial" w:hAnsi="Arial" w:cs="Arial"/>
          <w:bCs/>
          <w:sz w:val="20"/>
          <w:szCs w:val="20"/>
        </w:rPr>
        <w:t>)(Ca(SO</w:t>
      </w:r>
      <w:r w:rsidRPr="002F67B9">
        <w:rPr>
          <w:rFonts w:ascii="Arial" w:hAnsi="Arial" w:cs="Arial"/>
          <w:bCs/>
          <w:sz w:val="20"/>
          <w:szCs w:val="20"/>
          <w:vertAlign w:val="subscript"/>
        </w:rPr>
        <w:t>4</w:t>
      </w:r>
      <w:r w:rsidRPr="002F67B9">
        <w:rPr>
          <w:rFonts w:ascii="Arial" w:hAnsi="Arial" w:cs="Arial"/>
          <w:bCs/>
          <w:sz w:val="20"/>
          <w:szCs w:val="20"/>
        </w:rPr>
        <w:t>))</w:t>
      </w:r>
      <w:r w:rsidRPr="002F67B9">
        <w:rPr>
          <w:rFonts w:ascii="Arial" w:hAnsi="Arial" w:cs="Arial"/>
          <w:bCs/>
          <w:sz w:val="20"/>
          <w:szCs w:val="20"/>
          <w:vertAlign w:val="subscript"/>
        </w:rPr>
        <w:t>2</w:t>
      </w:r>
      <w:r w:rsidRPr="002F67B9">
        <w:rPr>
          <w:rFonts w:ascii="Arial" w:hAnsi="Arial" w:cs="Arial"/>
          <w:bCs/>
          <w:sz w:val="20"/>
          <w:szCs w:val="20"/>
        </w:rPr>
        <w:t>●2H</w:t>
      </w:r>
      <w:r w:rsidRPr="002F67B9">
        <w:rPr>
          <w:rFonts w:ascii="Arial" w:hAnsi="Arial" w:cs="Arial"/>
          <w:bCs/>
          <w:sz w:val="20"/>
          <w:szCs w:val="20"/>
          <w:vertAlign w:val="subscript"/>
        </w:rPr>
        <w:t>2</w:t>
      </w:r>
      <w:r w:rsidRPr="002F67B9">
        <w:rPr>
          <w:rFonts w:ascii="Arial" w:hAnsi="Arial" w:cs="Arial"/>
          <w:bCs/>
          <w:sz w:val="20"/>
          <w:szCs w:val="20"/>
        </w:rPr>
        <w:t>O</w:t>
      </w:r>
      <w:r w:rsidRPr="002F67B9">
        <w:rPr>
          <w:rFonts w:ascii="Arial" w:hAnsi="Arial" w:cs="Arial"/>
          <w:bCs/>
          <w:sz w:val="20"/>
          <w:szCs w:val="20"/>
        </w:rPr>
        <w:br/>
        <w:t>Potassium (K) Content   0.00     0.524       0.141     0.08 - 0.10        0.188             0.130        weight fraction</w:t>
      </w:r>
      <w:r w:rsidRPr="002F67B9">
        <w:rPr>
          <w:rFonts w:ascii="Arial" w:hAnsi="Arial" w:cs="Arial"/>
          <w:bCs/>
          <w:sz w:val="20"/>
          <w:szCs w:val="20"/>
        </w:rPr>
        <w:br/>
        <w:t>Gamma Ray                 </w:t>
      </w:r>
      <w:r w:rsidR="00617A08" w:rsidRPr="002F67B9">
        <w:rPr>
          <w:rFonts w:ascii="Arial" w:hAnsi="Arial" w:cs="Arial"/>
          <w:bCs/>
          <w:sz w:val="20"/>
          <w:szCs w:val="20"/>
        </w:rPr>
        <w:t xml:space="preserve">    </w:t>
      </w:r>
      <w:r w:rsidRPr="002F67B9">
        <w:rPr>
          <w:rFonts w:ascii="Arial" w:hAnsi="Arial" w:cs="Arial"/>
          <w:bCs/>
          <w:sz w:val="20"/>
          <w:szCs w:val="20"/>
        </w:rPr>
        <w:t xml:space="preserve">   0        747          200         120 - 150         268                185     API Units (linear tool)  </w:t>
      </w:r>
      <w:r w:rsidRPr="002F67B9">
        <w:rPr>
          <w:rFonts w:ascii="Arial" w:hAnsi="Arial" w:cs="Arial"/>
          <w:bCs/>
          <w:sz w:val="20"/>
          <w:szCs w:val="20"/>
        </w:rPr>
        <w:br/>
        <w:t xml:space="preserve">Apparent K2O Content  </w:t>
      </w:r>
      <w:r w:rsidR="00617A08" w:rsidRPr="002F67B9">
        <w:rPr>
          <w:rFonts w:ascii="Arial" w:hAnsi="Arial" w:cs="Arial"/>
          <w:bCs/>
          <w:sz w:val="20"/>
          <w:szCs w:val="20"/>
        </w:rPr>
        <w:t xml:space="preserve"> </w:t>
      </w:r>
      <w:r w:rsidRPr="002F67B9">
        <w:rPr>
          <w:rFonts w:ascii="Arial" w:hAnsi="Arial" w:cs="Arial"/>
          <w:bCs/>
          <w:sz w:val="20"/>
          <w:szCs w:val="20"/>
        </w:rPr>
        <w:t>0.00      0.63        0.17       0.10 - 0.15        0.225             0.156        weight fraction</w:t>
      </w:r>
      <w:r w:rsidRPr="002F67B9">
        <w:rPr>
          <w:rFonts w:ascii="Arial" w:hAnsi="Arial" w:cs="Arial"/>
          <w:bCs/>
          <w:sz w:val="20"/>
          <w:szCs w:val="20"/>
        </w:rPr>
        <w:br/>
      </w:r>
      <w:r w:rsidRPr="002F67B9">
        <w:rPr>
          <w:rFonts w:ascii="Arial" w:hAnsi="Arial" w:cs="Arial"/>
          <w:bCs/>
          <w:sz w:val="20"/>
          <w:szCs w:val="20"/>
        </w:rPr>
        <w:br/>
        <w:t xml:space="preserve">Hydrogen Index            0.00   - 0.02        0.60       0.30 - 0.40       - 0.01               0.25         fractional </w:t>
      </w:r>
      <w:r w:rsidRPr="002F67B9">
        <w:rPr>
          <w:rFonts w:ascii="Arial" w:hAnsi="Arial" w:cs="Arial"/>
          <w:bCs/>
          <w:sz w:val="20"/>
          <w:szCs w:val="20"/>
        </w:rPr>
        <w:br/>
        <w:t>Sonic Travel Time         67.0     74.0        78.0      90.0 - 120.0        52.0               57.0   microseconds per foot</w:t>
      </w:r>
      <w:r w:rsidRPr="002F67B9">
        <w:rPr>
          <w:rFonts w:ascii="Arial" w:hAnsi="Arial" w:cs="Arial"/>
          <w:bCs/>
          <w:sz w:val="20"/>
          <w:szCs w:val="20"/>
        </w:rPr>
        <w:br/>
        <w:t>Density (log)                  2.03     1.86        1.57      2.35 - 2.65          2.82               2.78         gram/cc</w:t>
      </w:r>
      <w:r w:rsidRPr="002F67B9">
        <w:rPr>
          <w:rFonts w:ascii="Arial" w:hAnsi="Arial" w:cs="Arial"/>
          <w:bCs/>
          <w:sz w:val="20"/>
          <w:szCs w:val="20"/>
        </w:rPr>
        <w:br/>
        <w:t>Density (true)                 2.16     1.98        1.61     2.35 - 2.65          2.83               2.79       </w:t>
      </w:r>
      <w:r w:rsidR="00C4094F" w:rsidRPr="002F67B9">
        <w:rPr>
          <w:rFonts w:ascii="Arial" w:hAnsi="Arial" w:cs="Arial"/>
          <w:bCs/>
          <w:sz w:val="20"/>
          <w:szCs w:val="20"/>
        </w:rPr>
        <w:t xml:space="preserve"> </w:t>
      </w:r>
      <w:r w:rsidRPr="002F67B9">
        <w:rPr>
          <w:rFonts w:ascii="Arial" w:hAnsi="Arial" w:cs="Arial"/>
          <w:bCs/>
          <w:sz w:val="20"/>
          <w:szCs w:val="20"/>
        </w:rPr>
        <w:t xml:space="preserve"> gram/cc</w:t>
      </w:r>
      <w:r w:rsidRPr="002F67B9">
        <w:rPr>
          <w:rFonts w:ascii="Arial" w:hAnsi="Arial" w:cs="Arial"/>
          <w:bCs/>
          <w:sz w:val="20"/>
          <w:szCs w:val="20"/>
        </w:rPr>
        <w:br/>
        <w:t>Photoelectric                 4.72     8.76   </w:t>
      </w:r>
      <w:r w:rsidR="00E51F67" w:rsidRPr="002F67B9">
        <w:rPr>
          <w:rFonts w:ascii="Arial" w:hAnsi="Arial" w:cs="Arial"/>
          <w:bCs/>
          <w:sz w:val="20"/>
          <w:szCs w:val="20"/>
        </w:rPr>
        <w:t xml:space="preserve"> </w:t>
      </w:r>
      <w:r w:rsidRPr="002F67B9">
        <w:rPr>
          <w:rFonts w:ascii="Arial" w:hAnsi="Arial" w:cs="Arial"/>
          <w:bCs/>
          <w:sz w:val="20"/>
          <w:szCs w:val="20"/>
        </w:rPr>
        <w:t xml:space="preserve">    4.29     1.45 - 3.50          3.56               4.32     capture </w:t>
      </w:r>
      <w:r w:rsidRPr="002F67B9">
        <w:rPr>
          <w:rFonts w:ascii="Arial" w:hAnsi="Arial" w:cs="Arial"/>
          <w:bCs/>
        </w:rPr>
        <w:t>units</w:t>
      </w:r>
    </w:p>
    <w:p w14:paraId="4FBCEB43" w14:textId="77777777" w:rsidR="00271ECF" w:rsidRPr="002F67B9" w:rsidRDefault="00271ECF" w:rsidP="002F67B9">
      <w:pPr>
        <w:pStyle w:val="NormalWeb"/>
        <w:spacing w:before="0" w:beforeAutospacing="0" w:after="0" w:afterAutospacing="0" w:line="276" w:lineRule="auto"/>
        <w:rPr>
          <w:rFonts w:ascii="Arial" w:hAnsi="Arial" w:cs="Arial"/>
        </w:rPr>
      </w:pPr>
      <w:r w:rsidRPr="002F67B9">
        <w:rPr>
          <w:rFonts w:ascii="Arial" w:hAnsi="Arial" w:cs="Arial"/>
        </w:rPr>
        <w:t> </w:t>
      </w:r>
    </w:p>
    <w:p w14:paraId="1D9A3F49" w14:textId="77777777" w:rsidR="00546FEB" w:rsidRPr="002F67B9" w:rsidRDefault="007F711A" w:rsidP="002F67B9">
      <w:pPr>
        <w:pStyle w:val="NormalWeb"/>
        <w:spacing w:before="0" w:beforeAutospacing="0" w:after="0" w:afterAutospacing="0" w:line="276" w:lineRule="auto"/>
        <w:rPr>
          <w:rFonts w:ascii="Arial" w:hAnsi="Arial" w:cs="Arial"/>
        </w:rPr>
      </w:pPr>
      <w:r w:rsidRPr="002F67B9">
        <w:rPr>
          <w:noProof/>
          <w:lang w:val="en-CA" w:eastAsia="en-CA"/>
        </w:rPr>
        <w:drawing>
          <wp:anchor distT="0" distB="0" distL="114300" distR="114300" simplePos="0" relativeHeight="251658752" behindDoc="0" locked="0" layoutInCell="1" allowOverlap="1" wp14:anchorId="2C429325" wp14:editId="1113BFEC">
            <wp:simplePos x="0" y="0"/>
            <wp:positionH relativeFrom="column">
              <wp:align>right</wp:align>
            </wp:positionH>
            <wp:positionV relativeFrom="paragraph">
              <wp:posOffset>25400</wp:posOffset>
            </wp:positionV>
            <wp:extent cx="2267585" cy="2273300"/>
            <wp:effectExtent l="19050" t="19050" r="18415" b="12700"/>
            <wp:wrapSquare wrapText="bothSides"/>
            <wp:docPr id="263" name="Picture 263" descr="Figure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Figure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7585" cy="227330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2F5D71" w:rsidRPr="002F67B9">
        <w:rPr>
          <w:rFonts w:ascii="Arial" w:hAnsi="Arial" w:cs="Arial"/>
        </w:rPr>
        <w:t xml:space="preserve">The </w:t>
      </w:r>
      <w:proofErr w:type="spellStart"/>
      <w:r w:rsidR="002F5D71" w:rsidRPr="002F67B9">
        <w:rPr>
          <w:rFonts w:ascii="Arial" w:hAnsi="Arial" w:cs="Arial"/>
        </w:rPr>
        <w:t>V</w:t>
      </w:r>
      <w:r w:rsidR="00546FEB" w:rsidRPr="002F67B9">
        <w:rPr>
          <w:rFonts w:ascii="Arial" w:hAnsi="Arial" w:cs="Arial"/>
        </w:rPr>
        <w:t>p</w:t>
      </w:r>
      <w:proofErr w:type="spellEnd"/>
      <w:r w:rsidR="002F5D71" w:rsidRPr="002F67B9">
        <w:rPr>
          <w:rFonts w:ascii="Arial" w:hAnsi="Arial" w:cs="Arial"/>
        </w:rPr>
        <w:t>/V</w:t>
      </w:r>
      <w:r w:rsidR="00546FEB" w:rsidRPr="002F67B9">
        <w:rPr>
          <w:rFonts w:ascii="Arial" w:hAnsi="Arial" w:cs="Arial"/>
        </w:rPr>
        <w:t>s</w:t>
      </w:r>
      <w:r w:rsidR="002F5D71" w:rsidRPr="002F67B9">
        <w:rPr>
          <w:rFonts w:ascii="Arial" w:hAnsi="Arial" w:cs="Arial"/>
        </w:rPr>
        <w:t xml:space="preserve"> ratio for most salts is near 1.90, so shear travel time is about 1.90 times the compressional travel time given above. </w:t>
      </w:r>
    </w:p>
    <w:p w14:paraId="417A941C" w14:textId="77777777" w:rsidR="00546FEB" w:rsidRPr="002F67B9" w:rsidRDefault="00546FEB" w:rsidP="002F67B9">
      <w:pPr>
        <w:pStyle w:val="NormalWeb"/>
        <w:spacing w:before="0" w:beforeAutospacing="0" w:after="0" w:afterAutospacing="0" w:line="276" w:lineRule="auto"/>
        <w:rPr>
          <w:rFonts w:ascii="Arial" w:hAnsi="Arial" w:cs="Arial"/>
        </w:rPr>
      </w:pPr>
    </w:p>
    <w:p w14:paraId="1690BFAE" w14:textId="77777777" w:rsidR="00546FEB" w:rsidRPr="002F67B9" w:rsidRDefault="002F5D71" w:rsidP="002F67B9">
      <w:pPr>
        <w:pStyle w:val="NormalWeb"/>
        <w:spacing w:before="0" w:beforeAutospacing="0" w:after="0" w:afterAutospacing="0" w:line="276" w:lineRule="auto"/>
        <w:rPr>
          <w:rFonts w:ascii="Arial" w:hAnsi="Arial" w:cs="Arial"/>
        </w:rPr>
      </w:pPr>
      <w:r w:rsidRPr="002F67B9">
        <w:rPr>
          <w:rFonts w:ascii="Arial" w:hAnsi="Arial" w:cs="Arial"/>
        </w:rPr>
        <w:t>A density versus K20 (or gamma ray) crossplot helps to define which minerals might be present.</w:t>
      </w:r>
      <w:r w:rsidR="00546FEB" w:rsidRPr="002F67B9">
        <w:rPr>
          <w:rFonts w:ascii="Arial" w:hAnsi="Arial" w:cs="Arial"/>
        </w:rPr>
        <w:t xml:space="preserve"> </w:t>
      </w:r>
    </w:p>
    <w:p w14:paraId="4A1630F4" w14:textId="77777777" w:rsidR="00546FEB" w:rsidRPr="002F67B9" w:rsidRDefault="00546FEB" w:rsidP="002F67B9">
      <w:pPr>
        <w:pStyle w:val="NormalWeb"/>
        <w:spacing w:before="0" w:beforeAutospacing="0" w:after="0" w:afterAutospacing="0" w:line="276" w:lineRule="auto"/>
        <w:rPr>
          <w:rFonts w:ascii="Arial" w:hAnsi="Arial" w:cs="Arial"/>
        </w:rPr>
      </w:pPr>
    </w:p>
    <w:p w14:paraId="5060EA10" w14:textId="77777777" w:rsidR="00271ECF" w:rsidRPr="002F67B9" w:rsidRDefault="00C4094F" w:rsidP="002F67B9">
      <w:pPr>
        <w:pStyle w:val="NormalWeb"/>
        <w:spacing w:before="0" w:beforeAutospacing="0" w:after="0" w:afterAutospacing="0" w:line="276" w:lineRule="auto"/>
        <w:jc w:val="right"/>
        <w:rPr>
          <w:rFonts w:ascii="Arial" w:hAnsi="Arial" w:cs="Arial"/>
        </w:rPr>
      </w:pPr>
      <w:r w:rsidRPr="002F67B9">
        <w:rPr>
          <w:rFonts w:ascii="Arial" w:hAnsi="Arial" w:cs="Arial"/>
          <w:bCs/>
          <w:i/>
          <w:iCs/>
        </w:rPr>
        <w:t xml:space="preserve">Figure </w:t>
      </w:r>
      <w:r w:rsidR="0002028E" w:rsidRPr="002F67B9">
        <w:rPr>
          <w:rFonts w:ascii="Arial" w:hAnsi="Arial" w:cs="Arial"/>
          <w:bCs/>
          <w:i/>
          <w:iCs/>
        </w:rPr>
        <w:t>3</w:t>
      </w:r>
      <w:r w:rsidRPr="002F67B9">
        <w:rPr>
          <w:rFonts w:ascii="Arial" w:hAnsi="Arial" w:cs="Arial"/>
          <w:bCs/>
          <w:i/>
          <w:iCs/>
        </w:rPr>
        <w:t xml:space="preserve">: </w:t>
      </w:r>
      <w:r w:rsidR="00271ECF" w:rsidRPr="002F67B9">
        <w:rPr>
          <w:rFonts w:ascii="Arial" w:hAnsi="Arial" w:cs="Arial"/>
          <w:bCs/>
          <w:i/>
          <w:iCs/>
        </w:rPr>
        <w:t xml:space="preserve">Gamma ray versus density crossplot of </w:t>
      </w:r>
      <w:r w:rsidR="00DB1053" w:rsidRPr="002F67B9">
        <w:rPr>
          <w:rFonts w:ascii="Arial" w:hAnsi="Arial" w:cs="Arial"/>
          <w:bCs/>
          <w:i/>
          <w:iCs/>
        </w:rPr>
        <w:br/>
      </w:r>
      <w:r w:rsidR="00271ECF" w:rsidRPr="002F67B9">
        <w:rPr>
          <w:rFonts w:ascii="Arial" w:hAnsi="Arial" w:cs="Arial"/>
          <w:bCs/>
          <w:i/>
          <w:iCs/>
        </w:rPr>
        <w:t>evaporite minerals used for mineral identification.</w:t>
      </w:r>
      <w:r w:rsidR="00546FEB" w:rsidRPr="002F67B9">
        <w:rPr>
          <w:rFonts w:ascii="Arial" w:hAnsi="Arial" w:cs="Arial"/>
          <w:bCs/>
          <w:i/>
          <w:iCs/>
        </w:rPr>
        <w:t xml:space="preserve"> </w:t>
      </w:r>
      <w:r w:rsidR="00546FEB" w:rsidRPr="002F67B9">
        <w:rPr>
          <w:rFonts w:ascii="Arial" w:hAnsi="Arial" w:cs="Arial"/>
          <w:bCs/>
          <w:i/>
          <w:iCs/>
        </w:rPr>
        <w:sym w:font="Wingdings" w:char="F0E8"/>
      </w:r>
    </w:p>
    <w:p w14:paraId="31005775" w14:textId="77777777" w:rsidR="00271ECF" w:rsidRPr="002F67B9" w:rsidRDefault="00271ECF" w:rsidP="002F67B9">
      <w:pPr>
        <w:pStyle w:val="NormalWeb"/>
        <w:spacing w:before="0" w:beforeAutospacing="0" w:after="0" w:afterAutospacing="0" w:line="276" w:lineRule="auto"/>
        <w:jc w:val="center"/>
        <w:rPr>
          <w:rFonts w:ascii="Arial" w:hAnsi="Arial" w:cs="Arial"/>
        </w:rPr>
      </w:pPr>
      <w:r w:rsidRPr="002F67B9">
        <w:rPr>
          <w:rFonts w:ascii="Arial" w:hAnsi="Arial" w:cs="Arial"/>
        </w:rPr>
        <w:t> </w:t>
      </w:r>
    </w:p>
    <w:p w14:paraId="7527EFB4" w14:textId="77777777" w:rsidR="00271ECF" w:rsidRPr="002F67B9" w:rsidRDefault="00271ECF" w:rsidP="002F67B9">
      <w:pPr>
        <w:pStyle w:val="NormalWeb"/>
        <w:spacing w:before="0" w:beforeAutospacing="0" w:after="0" w:afterAutospacing="0" w:line="276" w:lineRule="auto"/>
        <w:rPr>
          <w:rFonts w:ascii="Arial" w:hAnsi="Arial" w:cs="Arial"/>
          <w:color w:val="000000"/>
        </w:rPr>
      </w:pPr>
      <w:r w:rsidRPr="002F67B9">
        <w:rPr>
          <w:rStyle w:val="Strong"/>
          <w:rFonts w:ascii="Arial" w:hAnsi="Arial" w:cs="Arial"/>
          <w:caps/>
          <w:color w:val="000000"/>
        </w:rPr>
        <w:t xml:space="preserve">POTASH ANALYSIS </w:t>
      </w:r>
      <w:r w:rsidR="002D7E79" w:rsidRPr="002F67B9">
        <w:rPr>
          <w:rStyle w:val="Strong"/>
          <w:rFonts w:ascii="Arial" w:hAnsi="Arial" w:cs="Arial"/>
          <w:caps/>
          <w:color w:val="000000"/>
        </w:rPr>
        <w:t xml:space="preserve">CONCEPTS </w:t>
      </w:r>
      <w:r w:rsidR="00AE3209" w:rsidRPr="002F67B9">
        <w:rPr>
          <w:rStyle w:val="Strong"/>
          <w:rFonts w:ascii="Arial" w:hAnsi="Arial" w:cs="Arial"/>
          <w:caps/>
          <w:color w:val="000000"/>
        </w:rPr>
        <w:t>–</w:t>
      </w:r>
      <w:r w:rsidRPr="002F67B9">
        <w:rPr>
          <w:rStyle w:val="Strong"/>
          <w:rFonts w:ascii="Arial" w:hAnsi="Arial" w:cs="Arial"/>
          <w:caps/>
          <w:color w:val="000000"/>
        </w:rPr>
        <w:t xml:space="preserve"> OLDER LOGS</w:t>
      </w:r>
    </w:p>
    <w:p w14:paraId="1823C22E" w14:textId="77777777" w:rsidR="000E6000" w:rsidRPr="002F67B9" w:rsidRDefault="00271ECF" w:rsidP="002F67B9">
      <w:pPr>
        <w:pStyle w:val="NormalWeb"/>
        <w:spacing w:before="0" w:beforeAutospacing="0" w:after="0" w:afterAutospacing="0" w:line="276" w:lineRule="auto"/>
        <w:rPr>
          <w:rFonts w:ascii="Arial" w:hAnsi="Arial" w:cs="Arial"/>
          <w:bCs/>
        </w:rPr>
      </w:pPr>
      <w:r w:rsidRPr="002F67B9">
        <w:rPr>
          <w:rFonts w:ascii="Arial" w:hAnsi="Arial" w:cs="Arial"/>
          <w:bCs/>
        </w:rPr>
        <w:t xml:space="preserve">Since potassium is radioactive, the K2O content can be derived from gamma ray logs, and this technique has been used since the </w:t>
      </w:r>
      <w:r w:rsidR="000E6000" w:rsidRPr="002F67B9">
        <w:rPr>
          <w:rFonts w:ascii="Arial" w:hAnsi="Arial" w:cs="Arial"/>
          <w:bCs/>
        </w:rPr>
        <w:t xml:space="preserve">mid </w:t>
      </w:r>
      <w:r w:rsidRPr="002F67B9">
        <w:rPr>
          <w:rFonts w:ascii="Arial" w:hAnsi="Arial" w:cs="Arial"/>
          <w:bCs/>
        </w:rPr>
        <w:t xml:space="preserve">1960's </w:t>
      </w:r>
      <w:r w:rsidR="000E6000" w:rsidRPr="002F67B9">
        <w:rPr>
          <w:rFonts w:ascii="Arial" w:hAnsi="Arial" w:cs="Arial"/>
          <w:bCs/>
        </w:rPr>
        <w:t xml:space="preserve"> (Crain and Anderson, </w:t>
      </w:r>
      <w:r w:rsidR="00863639" w:rsidRPr="002F67B9">
        <w:rPr>
          <w:rFonts w:ascii="Arial" w:hAnsi="Arial" w:cs="Arial"/>
          <w:bCs/>
        </w:rPr>
        <w:t xml:space="preserve">JCPT, </w:t>
      </w:r>
      <w:r w:rsidR="000E6000" w:rsidRPr="002F67B9">
        <w:rPr>
          <w:rFonts w:ascii="Arial" w:hAnsi="Arial" w:cs="Arial"/>
          <w:bCs/>
        </w:rPr>
        <w:t>1966).</w:t>
      </w:r>
    </w:p>
    <w:p w14:paraId="2EDD26DE" w14:textId="77777777" w:rsidR="000E6000" w:rsidRPr="002F67B9" w:rsidRDefault="000E6000" w:rsidP="002F67B9">
      <w:pPr>
        <w:pStyle w:val="NormalWeb"/>
        <w:spacing w:before="0" w:beforeAutospacing="0" w:after="0" w:afterAutospacing="0" w:line="276" w:lineRule="auto"/>
        <w:rPr>
          <w:rFonts w:ascii="Arial" w:hAnsi="Arial" w:cs="Arial"/>
        </w:rPr>
      </w:pPr>
    </w:p>
    <w:p w14:paraId="7528E96A" w14:textId="77777777" w:rsidR="00271ECF" w:rsidRPr="002F67B9" w:rsidRDefault="00271ECF" w:rsidP="002F67B9">
      <w:pPr>
        <w:pStyle w:val="NormalWeb"/>
        <w:spacing w:before="0" w:beforeAutospacing="0" w:after="0" w:afterAutospacing="0" w:line="276" w:lineRule="auto"/>
        <w:rPr>
          <w:rFonts w:ascii="Arial" w:hAnsi="Arial" w:cs="Arial"/>
        </w:rPr>
      </w:pPr>
      <w:r w:rsidRPr="002F67B9">
        <w:rPr>
          <w:rStyle w:val="Strong"/>
          <w:rFonts w:ascii="Arial" w:hAnsi="Arial" w:cs="Arial"/>
          <w:b w:val="0"/>
        </w:rPr>
        <w:t>Most analog oil</w:t>
      </w:r>
      <w:r w:rsidR="00B01A3F" w:rsidRPr="002F67B9">
        <w:rPr>
          <w:rStyle w:val="Strong"/>
          <w:rFonts w:ascii="Arial" w:hAnsi="Arial" w:cs="Arial"/>
          <w:b w:val="0"/>
        </w:rPr>
        <w:t>-</w:t>
      </w:r>
      <w:r w:rsidRPr="002F67B9">
        <w:rPr>
          <w:rStyle w:val="Strong"/>
          <w:rFonts w:ascii="Arial" w:hAnsi="Arial" w:cs="Arial"/>
          <w:b w:val="0"/>
        </w:rPr>
        <w:t>field GR logs were non-linear above about 300 API units due to dead time in the counting circuit. These older logs are still available in the well files.</w:t>
      </w:r>
      <w:r w:rsidR="00B01A3F" w:rsidRPr="002F67B9">
        <w:rPr>
          <w:rStyle w:val="Strong"/>
          <w:rFonts w:ascii="Arial" w:hAnsi="Arial" w:cs="Arial"/>
          <w:b w:val="0"/>
        </w:rPr>
        <w:t xml:space="preserve"> The non-linear relationship is shown below. Digital tools from the 1980’s and onward were more linear. Hole size and mud weight corrections are still needed for both the old and the new versions of the logs.</w:t>
      </w:r>
    </w:p>
    <w:p w14:paraId="3D8F6E63" w14:textId="77777777" w:rsidR="00271ECF" w:rsidRPr="002F67B9" w:rsidRDefault="00271ECF" w:rsidP="002F67B9">
      <w:pPr>
        <w:pStyle w:val="NormalWeb"/>
        <w:spacing w:before="0" w:beforeAutospacing="0" w:after="0" w:afterAutospacing="0" w:line="276" w:lineRule="auto"/>
        <w:rPr>
          <w:rFonts w:ascii="Arial" w:hAnsi="Arial" w:cs="Arial"/>
        </w:rPr>
      </w:pPr>
      <w:r w:rsidRPr="002F67B9">
        <w:rPr>
          <w:rFonts w:ascii="Arial" w:hAnsi="Arial" w:cs="Arial"/>
        </w:rPr>
        <w:lastRenderedPageBreak/>
        <w:t> </w:t>
      </w:r>
    </w:p>
    <w:p w14:paraId="428A8E94" w14:textId="031ED8C2" w:rsidR="00271ECF" w:rsidRPr="002F67B9" w:rsidRDefault="007F711A" w:rsidP="002F67B9">
      <w:pPr>
        <w:pStyle w:val="NormalWeb"/>
        <w:spacing w:before="0" w:beforeAutospacing="0" w:after="0" w:afterAutospacing="0" w:line="276" w:lineRule="auto"/>
        <w:jc w:val="center"/>
        <w:rPr>
          <w:rFonts w:ascii="Arial" w:hAnsi="Arial" w:cs="Arial"/>
        </w:rPr>
      </w:pPr>
      <w:r w:rsidRPr="002F67B9">
        <w:rPr>
          <w:rFonts w:ascii="Arial" w:hAnsi="Arial" w:cs="Arial"/>
          <w:bCs/>
          <w:i/>
          <w:iCs/>
          <w:noProof/>
          <w:lang w:val="en-CA" w:eastAsia="en-CA"/>
        </w:rPr>
        <w:drawing>
          <wp:inline distT="0" distB="0" distL="0" distR="0" wp14:anchorId="3DB66D2B" wp14:editId="1A86D973">
            <wp:extent cx="3784018" cy="2543017"/>
            <wp:effectExtent l="38100" t="38100" r="45085" b="29210"/>
            <wp:docPr id="1" name="Picture 1" descr="potashcha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tashchart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2899" cy="2542265"/>
                    </a:xfrm>
                    <a:prstGeom prst="rect">
                      <a:avLst/>
                    </a:prstGeom>
                    <a:noFill/>
                    <a:ln w="28575" cmpd="sng">
                      <a:solidFill>
                        <a:srgbClr val="000000"/>
                      </a:solidFill>
                      <a:miter lim="800000"/>
                      <a:headEnd/>
                      <a:tailEnd/>
                    </a:ln>
                    <a:effectLst/>
                  </pic:spPr>
                </pic:pic>
              </a:graphicData>
            </a:graphic>
          </wp:inline>
        </w:drawing>
      </w:r>
      <w:r w:rsidR="00DB1053" w:rsidRPr="002F67B9">
        <w:rPr>
          <w:rFonts w:ascii="Arial" w:hAnsi="Arial" w:cs="Arial"/>
          <w:bCs/>
          <w:i/>
          <w:iCs/>
        </w:rPr>
        <w:br/>
      </w:r>
      <w:r w:rsidR="00052BC8" w:rsidRPr="002F67B9">
        <w:rPr>
          <w:rFonts w:ascii="Arial" w:hAnsi="Arial" w:cs="Arial"/>
          <w:bCs/>
          <w:i/>
          <w:iCs/>
        </w:rPr>
        <w:t>Figure</w:t>
      </w:r>
      <w:r w:rsidR="00B01A3F" w:rsidRPr="002F67B9">
        <w:rPr>
          <w:rFonts w:ascii="Arial" w:hAnsi="Arial" w:cs="Arial"/>
          <w:bCs/>
          <w:i/>
          <w:iCs/>
        </w:rPr>
        <w:t xml:space="preserve"> 4</w:t>
      </w:r>
      <w:r w:rsidR="00052BC8" w:rsidRPr="002F67B9">
        <w:rPr>
          <w:rFonts w:ascii="Arial" w:hAnsi="Arial" w:cs="Arial"/>
          <w:bCs/>
          <w:i/>
          <w:iCs/>
        </w:rPr>
        <w:t>: K</w:t>
      </w:r>
      <w:r w:rsidR="00271ECF" w:rsidRPr="002F67B9">
        <w:rPr>
          <w:rFonts w:ascii="Arial" w:hAnsi="Arial" w:cs="Arial"/>
          <w:bCs/>
          <w:i/>
          <w:iCs/>
        </w:rPr>
        <w:t>2O versus Gamma Ray relationship for analog Sc</w:t>
      </w:r>
      <w:r w:rsidR="00AC78D2">
        <w:rPr>
          <w:rFonts w:ascii="Arial" w:hAnsi="Arial" w:cs="Arial"/>
          <w:bCs/>
          <w:i/>
          <w:iCs/>
        </w:rPr>
        <w:t>h</w:t>
      </w:r>
      <w:r w:rsidR="00271ECF" w:rsidRPr="002F67B9">
        <w:rPr>
          <w:rFonts w:ascii="Arial" w:hAnsi="Arial" w:cs="Arial"/>
          <w:bCs/>
          <w:i/>
          <w:iCs/>
        </w:rPr>
        <w:t>lumberger tools circa 1960 - 1980, run in open hole with oil based mud. Tools from other service companies may differ. Correlation between log and core assay data for specific cases is strongly recommended.</w:t>
      </w:r>
    </w:p>
    <w:p w14:paraId="588C8999" w14:textId="77777777" w:rsidR="00271ECF" w:rsidRPr="002F67B9" w:rsidRDefault="00271ECF" w:rsidP="002F67B9">
      <w:pPr>
        <w:pStyle w:val="NormalWeb"/>
        <w:spacing w:before="0" w:beforeAutospacing="0" w:after="0" w:afterAutospacing="0" w:line="276" w:lineRule="auto"/>
        <w:rPr>
          <w:rFonts w:ascii="Arial" w:hAnsi="Arial" w:cs="Arial"/>
        </w:rPr>
      </w:pPr>
      <w:r w:rsidRPr="002F67B9">
        <w:rPr>
          <w:rFonts w:ascii="Arial" w:hAnsi="Arial" w:cs="Arial"/>
        </w:rPr>
        <w:t> </w:t>
      </w:r>
    </w:p>
    <w:p w14:paraId="22879783" w14:textId="77777777" w:rsidR="00A20066" w:rsidRPr="002F67B9" w:rsidRDefault="00271ECF" w:rsidP="002F67B9">
      <w:pPr>
        <w:pStyle w:val="NormalWeb"/>
        <w:spacing w:before="0" w:beforeAutospacing="0" w:after="0" w:afterAutospacing="0" w:line="276" w:lineRule="auto"/>
        <w:rPr>
          <w:rStyle w:val="Strong"/>
          <w:rFonts w:ascii="Arial" w:hAnsi="Arial" w:cs="Arial"/>
        </w:rPr>
      </w:pPr>
      <w:r w:rsidRPr="002F67B9">
        <w:rPr>
          <w:rStyle w:val="Strong"/>
          <w:rFonts w:ascii="Arial" w:hAnsi="Arial" w:cs="Arial"/>
          <w:caps/>
        </w:rPr>
        <w:t>POTASH ORE GRADE FROM GAMMA RAY</w:t>
      </w:r>
      <w:r w:rsidR="00D23157" w:rsidRPr="002F67B9">
        <w:rPr>
          <w:rStyle w:val="Strong"/>
          <w:rFonts w:ascii="Arial" w:hAnsi="Arial" w:cs="Arial"/>
          <w:caps/>
        </w:rPr>
        <w:t xml:space="preserve"> LOGS</w:t>
      </w:r>
    </w:p>
    <w:tbl>
      <w:tblPr>
        <w:tblpPr w:leftFromText="45" w:rightFromText="45" w:vertAnchor="text" w:tblpXSpec="right" w:tblpYSpec="center"/>
        <w:tblW w:w="0" w:type="auto"/>
        <w:tblCellSpacing w:w="15" w:type="dxa"/>
        <w:tblBorders>
          <w:top w:val="outset" w:sz="24" w:space="0" w:color="000000"/>
          <w:left w:val="outset" w:sz="24" w:space="0" w:color="000000"/>
          <w:bottom w:val="inset" w:sz="24" w:space="0" w:color="000000"/>
          <w:right w:val="inset" w:sz="24" w:space="0" w:color="000000"/>
        </w:tblBorders>
        <w:tblCellMar>
          <w:top w:w="30" w:type="dxa"/>
          <w:left w:w="30" w:type="dxa"/>
          <w:bottom w:w="30" w:type="dxa"/>
          <w:right w:w="30" w:type="dxa"/>
        </w:tblCellMar>
        <w:tblLook w:val="0000" w:firstRow="0" w:lastRow="0" w:firstColumn="0" w:lastColumn="0" w:noHBand="0" w:noVBand="0"/>
      </w:tblPr>
      <w:tblGrid>
        <w:gridCol w:w="1227"/>
        <w:gridCol w:w="1197"/>
      </w:tblGrid>
      <w:tr w:rsidR="00A20066" w:rsidRPr="002F67B9" w14:paraId="2636C17E" w14:textId="77777777">
        <w:trPr>
          <w:trHeight w:val="210"/>
          <w:tblCellSpacing w:w="15" w:type="dxa"/>
        </w:trPr>
        <w:tc>
          <w:tcPr>
            <w:tcW w:w="2139" w:type="dxa"/>
            <w:gridSpan w:val="2"/>
            <w:shd w:val="clear" w:color="auto" w:fill="0000FF"/>
            <w:tcMar>
              <w:top w:w="0" w:type="dxa"/>
              <w:left w:w="30" w:type="dxa"/>
              <w:bottom w:w="0" w:type="dxa"/>
              <w:right w:w="30" w:type="dxa"/>
            </w:tcMar>
          </w:tcPr>
          <w:p w14:paraId="46CC49C4"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FFFFFF"/>
              </w:rPr>
              <w:t xml:space="preserve">K2O from </w:t>
            </w:r>
            <w:proofErr w:type="spellStart"/>
            <w:r w:rsidRPr="002F67B9">
              <w:rPr>
                <w:rFonts w:ascii="Arial" w:hAnsi="Arial" w:cs="Arial"/>
                <w:bCs/>
                <w:color w:val="FFFFFF"/>
              </w:rPr>
              <w:t>GRc</w:t>
            </w:r>
            <w:proofErr w:type="spellEnd"/>
          </w:p>
        </w:tc>
      </w:tr>
      <w:tr w:rsidR="00A20066" w:rsidRPr="002F67B9" w14:paraId="187EF325" w14:textId="77777777">
        <w:trPr>
          <w:trHeight w:val="210"/>
          <w:tblCellSpacing w:w="15" w:type="dxa"/>
        </w:trPr>
        <w:tc>
          <w:tcPr>
            <w:tcW w:w="1182" w:type="dxa"/>
            <w:shd w:val="clear" w:color="auto" w:fill="0000FF"/>
            <w:tcMar>
              <w:top w:w="0" w:type="dxa"/>
              <w:left w:w="30" w:type="dxa"/>
              <w:bottom w:w="0" w:type="dxa"/>
              <w:right w:w="30" w:type="dxa"/>
            </w:tcMar>
          </w:tcPr>
          <w:p w14:paraId="1DA9B7B9"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FFFFFF"/>
              </w:rPr>
              <w:t>GR API</w:t>
            </w:r>
          </w:p>
        </w:tc>
        <w:tc>
          <w:tcPr>
            <w:tcW w:w="1152" w:type="dxa"/>
            <w:shd w:val="clear" w:color="auto" w:fill="0000FF"/>
            <w:tcMar>
              <w:top w:w="0" w:type="dxa"/>
              <w:left w:w="30" w:type="dxa"/>
              <w:bottom w:w="0" w:type="dxa"/>
              <w:right w:w="30" w:type="dxa"/>
            </w:tcMar>
          </w:tcPr>
          <w:p w14:paraId="12F9E97C"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FFFFFF"/>
              </w:rPr>
              <w:t>K20</w:t>
            </w:r>
          </w:p>
        </w:tc>
      </w:tr>
      <w:tr w:rsidR="00A20066" w:rsidRPr="002F67B9" w14:paraId="7F060E6C" w14:textId="77777777">
        <w:trPr>
          <w:trHeight w:val="210"/>
          <w:tblCellSpacing w:w="15" w:type="dxa"/>
        </w:trPr>
        <w:tc>
          <w:tcPr>
            <w:tcW w:w="1182" w:type="dxa"/>
            <w:shd w:val="clear" w:color="auto" w:fill="FFFFFF"/>
            <w:tcMar>
              <w:top w:w="0" w:type="dxa"/>
              <w:left w:w="30" w:type="dxa"/>
              <w:bottom w:w="0" w:type="dxa"/>
              <w:right w:w="30" w:type="dxa"/>
            </w:tcMar>
          </w:tcPr>
          <w:p w14:paraId="594295A7"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0</w:t>
            </w:r>
          </w:p>
        </w:tc>
        <w:tc>
          <w:tcPr>
            <w:tcW w:w="1152" w:type="dxa"/>
            <w:shd w:val="clear" w:color="auto" w:fill="FFFFFF"/>
            <w:tcMar>
              <w:top w:w="0" w:type="dxa"/>
              <w:left w:w="30" w:type="dxa"/>
              <w:bottom w:w="0" w:type="dxa"/>
              <w:right w:w="30" w:type="dxa"/>
            </w:tcMar>
          </w:tcPr>
          <w:p w14:paraId="6A73FEE2"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0.0</w:t>
            </w:r>
          </w:p>
        </w:tc>
      </w:tr>
      <w:tr w:rsidR="00A20066" w:rsidRPr="002F67B9" w14:paraId="6EED25A8" w14:textId="77777777">
        <w:trPr>
          <w:trHeight w:val="210"/>
          <w:tblCellSpacing w:w="15" w:type="dxa"/>
        </w:trPr>
        <w:tc>
          <w:tcPr>
            <w:tcW w:w="1182" w:type="dxa"/>
            <w:shd w:val="clear" w:color="auto" w:fill="FFFFFF"/>
            <w:tcMar>
              <w:top w:w="0" w:type="dxa"/>
              <w:left w:w="30" w:type="dxa"/>
              <w:bottom w:w="0" w:type="dxa"/>
              <w:right w:w="30" w:type="dxa"/>
            </w:tcMar>
          </w:tcPr>
          <w:p w14:paraId="26643BC6"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45</w:t>
            </w:r>
          </w:p>
        </w:tc>
        <w:tc>
          <w:tcPr>
            <w:tcW w:w="1152" w:type="dxa"/>
            <w:shd w:val="clear" w:color="auto" w:fill="FFFFFF"/>
            <w:tcMar>
              <w:top w:w="0" w:type="dxa"/>
              <w:left w:w="30" w:type="dxa"/>
              <w:bottom w:w="0" w:type="dxa"/>
              <w:right w:w="30" w:type="dxa"/>
            </w:tcMar>
          </w:tcPr>
          <w:p w14:paraId="6E55DC31"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2.5</w:t>
            </w:r>
          </w:p>
        </w:tc>
      </w:tr>
      <w:tr w:rsidR="00A20066" w:rsidRPr="002F67B9" w14:paraId="1B982927" w14:textId="77777777">
        <w:trPr>
          <w:trHeight w:val="210"/>
          <w:tblCellSpacing w:w="15" w:type="dxa"/>
        </w:trPr>
        <w:tc>
          <w:tcPr>
            <w:tcW w:w="1182" w:type="dxa"/>
            <w:shd w:val="clear" w:color="auto" w:fill="FFFFFF"/>
            <w:tcMar>
              <w:top w:w="0" w:type="dxa"/>
              <w:left w:w="30" w:type="dxa"/>
              <w:bottom w:w="0" w:type="dxa"/>
              <w:right w:w="30" w:type="dxa"/>
            </w:tcMar>
          </w:tcPr>
          <w:p w14:paraId="1ACA8091"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90</w:t>
            </w:r>
          </w:p>
        </w:tc>
        <w:tc>
          <w:tcPr>
            <w:tcW w:w="1152" w:type="dxa"/>
            <w:shd w:val="clear" w:color="auto" w:fill="FFFFFF"/>
            <w:tcMar>
              <w:top w:w="0" w:type="dxa"/>
              <w:left w:w="30" w:type="dxa"/>
              <w:bottom w:w="0" w:type="dxa"/>
              <w:right w:w="30" w:type="dxa"/>
            </w:tcMar>
          </w:tcPr>
          <w:p w14:paraId="65B2E8C1"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5.0</w:t>
            </w:r>
          </w:p>
        </w:tc>
      </w:tr>
      <w:tr w:rsidR="00A20066" w:rsidRPr="002F67B9" w14:paraId="485DDAF8" w14:textId="77777777">
        <w:trPr>
          <w:trHeight w:val="210"/>
          <w:tblCellSpacing w:w="15" w:type="dxa"/>
        </w:trPr>
        <w:tc>
          <w:tcPr>
            <w:tcW w:w="1182" w:type="dxa"/>
            <w:shd w:val="clear" w:color="auto" w:fill="FFFFFF"/>
            <w:tcMar>
              <w:top w:w="0" w:type="dxa"/>
              <w:left w:w="30" w:type="dxa"/>
              <w:bottom w:w="0" w:type="dxa"/>
              <w:right w:w="30" w:type="dxa"/>
            </w:tcMar>
          </w:tcPr>
          <w:p w14:paraId="376F8C5E"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135</w:t>
            </w:r>
          </w:p>
        </w:tc>
        <w:tc>
          <w:tcPr>
            <w:tcW w:w="1152" w:type="dxa"/>
            <w:shd w:val="clear" w:color="auto" w:fill="FFFFFF"/>
            <w:tcMar>
              <w:top w:w="0" w:type="dxa"/>
              <w:left w:w="30" w:type="dxa"/>
              <w:bottom w:w="0" w:type="dxa"/>
              <w:right w:w="30" w:type="dxa"/>
            </w:tcMar>
          </w:tcPr>
          <w:p w14:paraId="4D68CBC3"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7.5</w:t>
            </w:r>
          </w:p>
        </w:tc>
      </w:tr>
      <w:tr w:rsidR="00A20066" w:rsidRPr="002F67B9" w14:paraId="1F331D25" w14:textId="77777777">
        <w:trPr>
          <w:trHeight w:val="210"/>
          <w:tblCellSpacing w:w="15" w:type="dxa"/>
        </w:trPr>
        <w:tc>
          <w:tcPr>
            <w:tcW w:w="1182" w:type="dxa"/>
            <w:shd w:val="clear" w:color="auto" w:fill="FFFFFF"/>
            <w:tcMar>
              <w:top w:w="0" w:type="dxa"/>
              <w:left w:w="30" w:type="dxa"/>
              <w:bottom w:w="0" w:type="dxa"/>
              <w:right w:w="30" w:type="dxa"/>
            </w:tcMar>
          </w:tcPr>
          <w:p w14:paraId="53A641D8"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175</w:t>
            </w:r>
          </w:p>
        </w:tc>
        <w:tc>
          <w:tcPr>
            <w:tcW w:w="1152" w:type="dxa"/>
            <w:shd w:val="clear" w:color="auto" w:fill="FFFFFF"/>
            <w:tcMar>
              <w:top w:w="0" w:type="dxa"/>
              <w:left w:w="30" w:type="dxa"/>
              <w:bottom w:w="0" w:type="dxa"/>
              <w:right w:w="30" w:type="dxa"/>
            </w:tcMar>
          </w:tcPr>
          <w:p w14:paraId="2C38EEEF"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10.0</w:t>
            </w:r>
          </w:p>
        </w:tc>
      </w:tr>
      <w:tr w:rsidR="00A20066" w:rsidRPr="002F67B9" w14:paraId="2CCCF564" w14:textId="77777777">
        <w:trPr>
          <w:trHeight w:val="210"/>
          <w:tblCellSpacing w:w="15" w:type="dxa"/>
        </w:trPr>
        <w:tc>
          <w:tcPr>
            <w:tcW w:w="1182" w:type="dxa"/>
            <w:shd w:val="clear" w:color="auto" w:fill="FFFFFF"/>
            <w:tcMar>
              <w:top w:w="0" w:type="dxa"/>
              <w:left w:w="30" w:type="dxa"/>
              <w:bottom w:w="0" w:type="dxa"/>
              <w:right w:w="30" w:type="dxa"/>
            </w:tcMar>
          </w:tcPr>
          <w:p w14:paraId="06F1D183"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220</w:t>
            </w:r>
          </w:p>
        </w:tc>
        <w:tc>
          <w:tcPr>
            <w:tcW w:w="1152" w:type="dxa"/>
            <w:shd w:val="clear" w:color="auto" w:fill="FFFFFF"/>
            <w:tcMar>
              <w:top w:w="0" w:type="dxa"/>
              <w:left w:w="30" w:type="dxa"/>
              <w:bottom w:w="0" w:type="dxa"/>
              <w:right w:w="30" w:type="dxa"/>
            </w:tcMar>
          </w:tcPr>
          <w:p w14:paraId="05FF437E"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12.5</w:t>
            </w:r>
          </w:p>
        </w:tc>
      </w:tr>
      <w:tr w:rsidR="00A20066" w:rsidRPr="002F67B9" w14:paraId="19DE1197" w14:textId="77777777">
        <w:trPr>
          <w:trHeight w:val="210"/>
          <w:tblCellSpacing w:w="15" w:type="dxa"/>
        </w:trPr>
        <w:tc>
          <w:tcPr>
            <w:tcW w:w="1182" w:type="dxa"/>
            <w:shd w:val="clear" w:color="auto" w:fill="FFFFFF"/>
            <w:tcMar>
              <w:top w:w="0" w:type="dxa"/>
              <w:left w:w="30" w:type="dxa"/>
              <w:bottom w:w="0" w:type="dxa"/>
              <w:right w:w="30" w:type="dxa"/>
            </w:tcMar>
          </w:tcPr>
          <w:p w14:paraId="4DEED525"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265</w:t>
            </w:r>
          </w:p>
        </w:tc>
        <w:tc>
          <w:tcPr>
            <w:tcW w:w="1152" w:type="dxa"/>
            <w:shd w:val="clear" w:color="auto" w:fill="FFFFFF"/>
            <w:tcMar>
              <w:top w:w="0" w:type="dxa"/>
              <w:left w:w="30" w:type="dxa"/>
              <w:bottom w:w="0" w:type="dxa"/>
              <w:right w:w="30" w:type="dxa"/>
            </w:tcMar>
          </w:tcPr>
          <w:p w14:paraId="5E73C1C8"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15.0</w:t>
            </w:r>
          </w:p>
        </w:tc>
      </w:tr>
      <w:tr w:rsidR="00A20066" w:rsidRPr="002F67B9" w14:paraId="70EDAD56" w14:textId="77777777">
        <w:trPr>
          <w:trHeight w:val="210"/>
          <w:tblCellSpacing w:w="15" w:type="dxa"/>
        </w:trPr>
        <w:tc>
          <w:tcPr>
            <w:tcW w:w="1182" w:type="dxa"/>
            <w:shd w:val="clear" w:color="auto" w:fill="FFFFFF"/>
            <w:tcMar>
              <w:top w:w="0" w:type="dxa"/>
              <w:left w:w="30" w:type="dxa"/>
              <w:bottom w:w="0" w:type="dxa"/>
              <w:right w:w="30" w:type="dxa"/>
            </w:tcMar>
          </w:tcPr>
          <w:p w14:paraId="775591F6"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310</w:t>
            </w:r>
          </w:p>
        </w:tc>
        <w:tc>
          <w:tcPr>
            <w:tcW w:w="1152" w:type="dxa"/>
            <w:shd w:val="clear" w:color="auto" w:fill="FFFFFF"/>
            <w:tcMar>
              <w:top w:w="0" w:type="dxa"/>
              <w:left w:w="30" w:type="dxa"/>
              <w:bottom w:w="0" w:type="dxa"/>
              <w:right w:w="30" w:type="dxa"/>
            </w:tcMar>
          </w:tcPr>
          <w:p w14:paraId="28CD8ED8"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17.5</w:t>
            </w:r>
          </w:p>
        </w:tc>
      </w:tr>
      <w:tr w:rsidR="00A20066" w:rsidRPr="002F67B9" w14:paraId="67F8E1AA" w14:textId="77777777">
        <w:trPr>
          <w:trHeight w:val="210"/>
          <w:tblCellSpacing w:w="15" w:type="dxa"/>
        </w:trPr>
        <w:tc>
          <w:tcPr>
            <w:tcW w:w="1182" w:type="dxa"/>
            <w:shd w:val="clear" w:color="auto" w:fill="FFFFFF"/>
            <w:tcMar>
              <w:top w:w="0" w:type="dxa"/>
              <w:left w:w="30" w:type="dxa"/>
              <w:bottom w:w="0" w:type="dxa"/>
              <w:right w:w="30" w:type="dxa"/>
            </w:tcMar>
          </w:tcPr>
          <w:p w14:paraId="691FB746"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355</w:t>
            </w:r>
          </w:p>
        </w:tc>
        <w:tc>
          <w:tcPr>
            <w:tcW w:w="1152" w:type="dxa"/>
            <w:shd w:val="clear" w:color="auto" w:fill="FFFFFF"/>
            <w:tcMar>
              <w:top w:w="0" w:type="dxa"/>
              <w:left w:w="30" w:type="dxa"/>
              <w:bottom w:w="0" w:type="dxa"/>
              <w:right w:w="30" w:type="dxa"/>
            </w:tcMar>
          </w:tcPr>
          <w:p w14:paraId="00C6DC2A"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20.0</w:t>
            </w:r>
          </w:p>
        </w:tc>
      </w:tr>
      <w:tr w:rsidR="00A20066" w:rsidRPr="002F67B9" w14:paraId="110694F4" w14:textId="77777777">
        <w:trPr>
          <w:trHeight w:val="210"/>
          <w:tblCellSpacing w:w="15" w:type="dxa"/>
        </w:trPr>
        <w:tc>
          <w:tcPr>
            <w:tcW w:w="1182" w:type="dxa"/>
            <w:shd w:val="clear" w:color="auto" w:fill="FFFFFF"/>
            <w:tcMar>
              <w:top w:w="0" w:type="dxa"/>
              <w:left w:w="30" w:type="dxa"/>
              <w:bottom w:w="0" w:type="dxa"/>
              <w:right w:w="30" w:type="dxa"/>
            </w:tcMar>
          </w:tcPr>
          <w:p w14:paraId="51F62F9E"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400</w:t>
            </w:r>
          </w:p>
        </w:tc>
        <w:tc>
          <w:tcPr>
            <w:tcW w:w="1152" w:type="dxa"/>
            <w:shd w:val="clear" w:color="auto" w:fill="FFFFFF"/>
            <w:tcMar>
              <w:top w:w="0" w:type="dxa"/>
              <w:left w:w="30" w:type="dxa"/>
              <w:bottom w:w="0" w:type="dxa"/>
              <w:right w:w="30" w:type="dxa"/>
            </w:tcMar>
          </w:tcPr>
          <w:p w14:paraId="6C8DA52D"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22.5</w:t>
            </w:r>
          </w:p>
        </w:tc>
      </w:tr>
      <w:tr w:rsidR="00A20066" w:rsidRPr="002F67B9" w14:paraId="1ED89960" w14:textId="77777777">
        <w:trPr>
          <w:trHeight w:val="210"/>
          <w:tblCellSpacing w:w="15" w:type="dxa"/>
        </w:trPr>
        <w:tc>
          <w:tcPr>
            <w:tcW w:w="1182" w:type="dxa"/>
            <w:shd w:val="clear" w:color="auto" w:fill="FFFFFF"/>
            <w:tcMar>
              <w:top w:w="0" w:type="dxa"/>
              <w:left w:w="30" w:type="dxa"/>
              <w:bottom w:w="0" w:type="dxa"/>
              <w:right w:w="30" w:type="dxa"/>
            </w:tcMar>
          </w:tcPr>
          <w:p w14:paraId="448D13CE"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435</w:t>
            </w:r>
          </w:p>
        </w:tc>
        <w:tc>
          <w:tcPr>
            <w:tcW w:w="1152" w:type="dxa"/>
            <w:shd w:val="clear" w:color="auto" w:fill="FFFFFF"/>
            <w:tcMar>
              <w:top w:w="0" w:type="dxa"/>
              <w:left w:w="30" w:type="dxa"/>
              <w:bottom w:w="0" w:type="dxa"/>
              <w:right w:w="30" w:type="dxa"/>
            </w:tcMar>
          </w:tcPr>
          <w:p w14:paraId="733DA465"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25.0</w:t>
            </w:r>
          </w:p>
        </w:tc>
      </w:tr>
      <w:tr w:rsidR="00A20066" w:rsidRPr="002F67B9" w14:paraId="14DDB014" w14:textId="77777777">
        <w:trPr>
          <w:trHeight w:val="210"/>
          <w:tblCellSpacing w:w="15" w:type="dxa"/>
        </w:trPr>
        <w:tc>
          <w:tcPr>
            <w:tcW w:w="1182" w:type="dxa"/>
            <w:shd w:val="clear" w:color="auto" w:fill="FFFFFF"/>
            <w:tcMar>
              <w:top w:w="0" w:type="dxa"/>
              <w:left w:w="30" w:type="dxa"/>
              <w:bottom w:w="0" w:type="dxa"/>
              <w:right w:w="30" w:type="dxa"/>
            </w:tcMar>
          </w:tcPr>
          <w:p w14:paraId="7680B3E4"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470</w:t>
            </w:r>
          </w:p>
        </w:tc>
        <w:tc>
          <w:tcPr>
            <w:tcW w:w="1152" w:type="dxa"/>
            <w:shd w:val="clear" w:color="auto" w:fill="FFFFFF"/>
            <w:tcMar>
              <w:top w:w="0" w:type="dxa"/>
              <w:left w:w="30" w:type="dxa"/>
              <w:bottom w:w="0" w:type="dxa"/>
              <w:right w:w="30" w:type="dxa"/>
            </w:tcMar>
          </w:tcPr>
          <w:p w14:paraId="42821EA0"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27.5</w:t>
            </w:r>
          </w:p>
        </w:tc>
      </w:tr>
      <w:tr w:rsidR="00A20066" w:rsidRPr="002F67B9" w14:paraId="1F067AA9" w14:textId="77777777">
        <w:trPr>
          <w:trHeight w:val="210"/>
          <w:tblCellSpacing w:w="15" w:type="dxa"/>
        </w:trPr>
        <w:tc>
          <w:tcPr>
            <w:tcW w:w="1182" w:type="dxa"/>
            <w:shd w:val="clear" w:color="auto" w:fill="FFFFFF"/>
            <w:tcMar>
              <w:top w:w="0" w:type="dxa"/>
              <w:left w:w="30" w:type="dxa"/>
              <w:bottom w:w="0" w:type="dxa"/>
              <w:right w:w="30" w:type="dxa"/>
            </w:tcMar>
          </w:tcPr>
          <w:p w14:paraId="17B89B7A"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505</w:t>
            </w:r>
          </w:p>
        </w:tc>
        <w:tc>
          <w:tcPr>
            <w:tcW w:w="1152" w:type="dxa"/>
            <w:shd w:val="clear" w:color="auto" w:fill="FFFFFF"/>
            <w:tcMar>
              <w:top w:w="0" w:type="dxa"/>
              <w:left w:w="30" w:type="dxa"/>
              <w:bottom w:w="0" w:type="dxa"/>
              <w:right w:w="30" w:type="dxa"/>
            </w:tcMar>
          </w:tcPr>
          <w:p w14:paraId="2031513E"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30.0</w:t>
            </w:r>
          </w:p>
        </w:tc>
      </w:tr>
      <w:tr w:rsidR="00A20066" w:rsidRPr="002F67B9" w14:paraId="5732CCFA" w14:textId="77777777">
        <w:trPr>
          <w:trHeight w:val="210"/>
          <w:tblCellSpacing w:w="15" w:type="dxa"/>
        </w:trPr>
        <w:tc>
          <w:tcPr>
            <w:tcW w:w="1182" w:type="dxa"/>
            <w:shd w:val="clear" w:color="auto" w:fill="FFFFFF"/>
            <w:tcMar>
              <w:top w:w="0" w:type="dxa"/>
              <w:left w:w="30" w:type="dxa"/>
              <w:bottom w:w="0" w:type="dxa"/>
              <w:right w:w="30" w:type="dxa"/>
            </w:tcMar>
          </w:tcPr>
          <w:p w14:paraId="569C75A4"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530</w:t>
            </w:r>
          </w:p>
        </w:tc>
        <w:tc>
          <w:tcPr>
            <w:tcW w:w="1152" w:type="dxa"/>
            <w:shd w:val="clear" w:color="auto" w:fill="FFFFFF"/>
            <w:tcMar>
              <w:top w:w="0" w:type="dxa"/>
              <w:left w:w="30" w:type="dxa"/>
              <w:bottom w:w="0" w:type="dxa"/>
              <w:right w:w="30" w:type="dxa"/>
            </w:tcMar>
          </w:tcPr>
          <w:p w14:paraId="4B5A0306"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32.5</w:t>
            </w:r>
          </w:p>
        </w:tc>
      </w:tr>
      <w:tr w:rsidR="00A20066" w:rsidRPr="002F67B9" w14:paraId="7D545B86" w14:textId="77777777">
        <w:trPr>
          <w:trHeight w:val="210"/>
          <w:tblCellSpacing w:w="15" w:type="dxa"/>
        </w:trPr>
        <w:tc>
          <w:tcPr>
            <w:tcW w:w="1182" w:type="dxa"/>
            <w:shd w:val="clear" w:color="auto" w:fill="FFFFFF"/>
            <w:tcMar>
              <w:top w:w="0" w:type="dxa"/>
              <w:left w:w="30" w:type="dxa"/>
              <w:bottom w:w="0" w:type="dxa"/>
              <w:right w:w="30" w:type="dxa"/>
            </w:tcMar>
          </w:tcPr>
          <w:p w14:paraId="52EE7DD1"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550</w:t>
            </w:r>
          </w:p>
        </w:tc>
        <w:tc>
          <w:tcPr>
            <w:tcW w:w="1152" w:type="dxa"/>
            <w:shd w:val="clear" w:color="auto" w:fill="FFFFFF"/>
            <w:tcMar>
              <w:top w:w="0" w:type="dxa"/>
              <w:left w:w="30" w:type="dxa"/>
              <w:bottom w:w="0" w:type="dxa"/>
              <w:right w:w="30" w:type="dxa"/>
            </w:tcMar>
          </w:tcPr>
          <w:p w14:paraId="225DA374"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35.0</w:t>
            </w:r>
          </w:p>
        </w:tc>
      </w:tr>
      <w:tr w:rsidR="00A20066" w:rsidRPr="002F67B9" w14:paraId="433D62E8" w14:textId="77777777">
        <w:trPr>
          <w:trHeight w:val="210"/>
          <w:tblCellSpacing w:w="15" w:type="dxa"/>
        </w:trPr>
        <w:tc>
          <w:tcPr>
            <w:tcW w:w="1182" w:type="dxa"/>
            <w:shd w:val="clear" w:color="auto" w:fill="FFFFFF"/>
            <w:tcMar>
              <w:top w:w="0" w:type="dxa"/>
              <w:left w:w="30" w:type="dxa"/>
              <w:bottom w:w="0" w:type="dxa"/>
              <w:right w:w="30" w:type="dxa"/>
            </w:tcMar>
          </w:tcPr>
          <w:p w14:paraId="28482156"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565</w:t>
            </w:r>
          </w:p>
        </w:tc>
        <w:tc>
          <w:tcPr>
            <w:tcW w:w="1152" w:type="dxa"/>
            <w:shd w:val="clear" w:color="auto" w:fill="FFFFFF"/>
            <w:tcMar>
              <w:top w:w="0" w:type="dxa"/>
              <w:left w:w="30" w:type="dxa"/>
              <w:bottom w:w="0" w:type="dxa"/>
              <w:right w:w="30" w:type="dxa"/>
            </w:tcMar>
          </w:tcPr>
          <w:p w14:paraId="7233AB3E"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37.5</w:t>
            </w:r>
          </w:p>
        </w:tc>
      </w:tr>
      <w:tr w:rsidR="00A20066" w:rsidRPr="002F67B9" w14:paraId="512719C8" w14:textId="77777777">
        <w:trPr>
          <w:trHeight w:val="210"/>
          <w:tblCellSpacing w:w="15" w:type="dxa"/>
        </w:trPr>
        <w:tc>
          <w:tcPr>
            <w:tcW w:w="1182" w:type="dxa"/>
            <w:shd w:val="clear" w:color="auto" w:fill="FFFFFF"/>
            <w:tcMar>
              <w:top w:w="0" w:type="dxa"/>
              <w:left w:w="30" w:type="dxa"/>
              <w:bottom w:w="0" w:type="dxa"/>
              <w:right w:w="30" w:type="dxa"/>
            </w:tcMar>
          </w:tcPr>
          <w:p w14:paraId="25084203"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580</w:t>
            </w:r>
          </w:p>
        </w:tc>
        <w:tc>
          <w:tcPr>
            <w:tcW w:w="1152" w:type="dxa"/>
            <w:shd w:val="clear" w:color="auto" w:fill="FFFFFF"/>
            <w:tcMar>
              <w:top w:w="0" w:type="dxa"/>
              <w:left w:w="30" w:type="dxa"/>
              <w:bottom w:w="0" w:type="dxa"/>
              <w:right w:w="30" w:type="dxa"/>
            </w:tcMar>
          </w:tcPr>
          <w:p w14:paraId="48D93DDD"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40.0</w:t>
            </w:r>
          </w:p>
        </w:tc>
      </w:tr>
      <w:tr w:rsidR="00A20066" w:rsidRPr="002F67B9" w14:paraId="07FB2D5C" w14:textId="77777777">
        <w:trPr>
          <w:trHeight w:val="210"/>
          <w:tblCellSpacing w:w="15" w:type="dxa"/>
        </w:trPr>
        <w:tc>
          <w:tcPr>
            <w:tcW w:w="1182" w:type="dxa"/>
            <w:shd w:val="clear" w:color="auto" w:fill="FFFFFF"/>
            <w:tcMar>
              <w:top w:w="0" w:type="dxa"/>
              <w:left w:w="30" w:type="dxa"/>
              <w:bottom w:w="0" w:type="dxa"/>
              <w:right w:w="30" w:type="dxa"/>
            </w:tcMar>
          </w:tcPr>
          <w:p w14:paraId="6414E6F8"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590</w:t>
            </w:r>
          </w:p>
        </w:tc>
        <w:tc>
          <w:tcPr>
            <w:tcW w:w="1152" w:type="dxa"/>
            <w:shd w:val="clear" w:color="auto" w:fill="FFFFFF"/>
            <w:tcMar>
              <w:top w:w="0" w:type="dxa"/>
              <w:left w:w="30" w:type="dxa"/>
              <w:bottom w:w="0" w:type="dxa"/>
              <w:right w:w="30" w:type="dxa"/>
            </w:tcMar>
          </w:tcPr>
          <w:p w14:paraId="10EDA5B8"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42.5</w:t>
            </w:r>
          </w:p>
        </w:tc>
      </w:tr>
      <w:tr w:rsidR="00A20066" w:rsidRPr="002F67B9" w14:paraId="7B3DB53B" w14:textId="77777777">
        <w:trPr>
          <w:trHeight w:val="210"/>
          <w:tblCellSpacing w:w="15" w:type="dxa"/>
        </w:trPr>
        <w:tc>
          <w:tcPr>
            <w:tcW w:w="1182" w:type="dxa"/>
            <w:shd w:val="clear" w:color="auto" w:fill="FFFFFF"/>
            <w:tcMar>
              <w:top w:w="0" w:type="dxa"/>
              <w:left w:w="30" w:type="dxa"/>
              <w:bottom w:w="0" w:type="dxa"/>
              <w:right w:w="30" w:type="dxa"/>
            </w:tcMar>
          </w:tcPr>
          <w:p w14:paraId="4A07C7A9"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600</w:t>
            </w:r>
          </w:p>
        </w:tc>
        <w:tc>
          <w:tcPr>
            <w:tcW w:w="1152" w:type="dxa"/>
            <w:shd w:val="clear" w:color="auto" w:fill="FFFFFF"/>
            <w:tcMar>
              <w:top w:w="0" w:type="dxa"/>
              <w:left w:w="30" w:type="dxa"/>
              <w:bottom w:w="0" w:type="dxa"/>
              <w:right w:w="30" w:type="dxa"/>
            </w:tcMar>
          </w:tcPr>
          <w:p w14:paraId="278382CD"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45.0</w:t>
            </w:r>
          </w:p>
        </w:tc>
      </w:tr>
      <w:tr w:rsidR="00A20066" w:rsidRPr="002F67B9" w14:paraId="3425FA74" w14:textId="77777777">
        <w:trPr>
          <w:trHeight w:val="210"/>
          <w:tblCellSpacing w:w="15" w:type="dxa"/>
        </w:trPr>
        <w:tc>
          <w:tcPr>
            <w:tcW w:w="1182" w:type="dxa"/>
            <w:shd w:val="clear" w:color="auto" w:fill="FFFFFF"/>
            <w:tcMar>
              <w:top w:w="0" w:type="dxa"/>
              <w:left w:w="30" w:type="dxa"/>
              <w:bottom w:w="0" w:type="dxa"/>
              <w:right w:w="30" w:type="dxa"/>
            </w:tcMar>
          </w:tcPr>
          <w:p w14:paraId="095E9292"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605</w:t>
            </w:r>
          </w:p>
        </w:tc>
        <w:tc>
          <w:tcPr>
            <w:tcW w:w="1152" w:type="dxa"/>
            <w:shd w:val="clear" w:color="auto" w:fill="FFFFFF"/>
            <w:tcMar>
              <w:top w:w="0" w:type="dxa"/>
              <w:left w:w="30" w:type="dxa"/>
              <w:bottom w:w="0" w:type="dxa"/>
              <w:right w:w="30" w:type="dxa"/>
            </w:tcMar>
          </w:tcPr>
          <w:p w14:paraId="0C29A184" w14:textId="77777777" w:rsidR="00A20066" w:rsidRPr="002F67B9" w:rsidRDefault="00A20066" w:rsidP="002F67B9">
            <w:pPr>
              <w:autoSpaceDE w:val="0"/>
              <w:autoSpaceDN w:val="0"/>
              <w:spacing w:before="100" w:beforeAutospacing="1" w:after="100" w:afterAutospacing="1" w:line="276" w:lineRule="auto"/>
              <w:jc w:val="center"/>
            </w:pPr>
            <w:r w:rsidRPr="002F67B9">
              <w:rPr>
                <w:rFonts w:ascii="Arial" w:hAnsi="Arial" w:cs="Arial"/>
                <w:bCs/>
                <w:color w:val="000000"/>
              </w:rPr>
              <w:t>47.5</w:t>
            </w:r>
          </w:p>
        </w:tc>
      </w:tr>
    </w:tbl>
    <w:p w14:paraId="30060224" w14:textId="77777777" w:rsidR="00271ECF" w:rsidRPr="002F67B9" w:rsidRDefault="00271ECF" w:rsidP="002F67B9">
      <w:pPr>
        <w:pStyle w:val="NormalWeb"/>
        <w:spacing w:before="0" w:beforeAutospacing="0" w:after="0" w:afterAutospacing="0" w:line="276" w:lineRule="auto"/>
        <w:rPr>
          <w:rFonts w:ascii="Arial" w:hAnsi="Arial" w:cs="Arial"/>
        </w:rPr>
      </w:pPr>
      <w:r w:rsidRPr="002F67B9">
        <w:rPr>
          <w:rStyle w:val="Strong"/>
          <w:rFonts w:ascii="Arial" w:hAnsi="Arial" w:cs="Arial"/>
          <w:b w:val="0"/>
        </w:rPr>
        <w:t xml:space="preserve">K2O content was derived from </w:t>
      </w:r>
      <w:proofErr w:type="spellStart"/>
      <w:r w:rsidRPr="002F67B9">
        <w:rPr>
          <w:rStyle w:val="Strong"/>
          <w:rFonts w:ascii="Arial" w:hAnsi="Arial" w:cs="Arial"/>
          <w:b w:val="0"/>
        </w:rPr>
        <w:t>GRc</w:t>
      </w:r>
      <w:proofErr w:type="spellEnd"/>
      <w:r w:rsidRPr="002F67B9">
        <w:rPr>
          <w:rStyle w:val="Strong"/>
          <w:rFonts w:ascii="Arial" w:hAnsi="Arial" w:cs="Arial"/>
          <w:b w:val="0"/>
        </w:rPr>
        <w:t xml:space="preserve"> using the lookup table shown at the right. It is linear up to 400 API units and exponential thereafter. Values in the table represent a 6 inch borehole filled with diesel at 7.2 </w:t>
      </w:r>
      <w:proofErr w:type="spellStart"/>
      <w:r w:rsidRPr="002F67B9">
        <w:rPr>
          <w:rStyle w:val="Strong"/>
          <w:rFonts w:ascii="Arial" w:hAnsi="Arial" w:cs="Arial"/>
          <w:b w:val="0"/>
        </w:rPr>
        <w:t>lb</w:t>
      </w:r>
      <w:proofErr w:type="spellEnd"/>
      <w:r w:rsidRPr="002F67B9">
        <w:rPr>
          <w:rStyle w:val="Strong"/>
          <w:rFonts w:ascii="Arial" w:hAnsi="Arial" w:cs="Arial"/>
          <w:b w:val="0"/>
        </w:rPr>
        <w:t>/gal. The linear portion of the lookup table is represented by:</w:t>
      </w:r>
      <w:r w:rsidRPr="002F67B9">
        <w:rPr>
          <w:rFonts w:ascii="Arial" w:hAnsi="Arial" w:cs="Arial"/>
          <w:bCs/>
        </w:rPr>
        <w:br/>
      </w:r>
      <w:r w:rsidRPr="002F67B9">
        <w:rPr>
          <w:rStyle w:val="Strong"/>
          <w:rFonts w:ascii="Arial" w:hAnsi="Arial" w:cs="Arial"/>
          <w:b w:val="0"/>
        </w:rPr>
        <w:t xml:space="preserve">      3: IF </w:t>
      </w:r>
      <w:proofErr w:type="spellStart"/>
      <w:r w:rsidRPr="002F67B9">
        <w:rPr>
          <w:rStyle w:val="Strong"/>
          <w:rFonts w:ascii="Arial" w:hAnsi="Arial" w:cs="Arial"/>
          <w:b w:val="0"/>
        </w:rPr>
        <w:t>GRc</w:t>
      </w:r>
      <w:proofErr w:type="spellEnd"/>
      <w:r w:rsidRPr="002F67B9">
        <w:rPr>
          <w:rStyle w:val="Strong"/>
          <w:rFonts w:ascii="Arial" w:hAnsi="Arial" w:cs="Arial"/>
          <w:b w:val="0"/>
        </w:rPr>
        <w:t xml:space="preserve"> &lt;= 400</w:t>
      </w:r>
      <w:r w:rsidRPr="002F67B9">
        <w:rPr>
          <w:rFonts w:ascii="Arial" w:hAnsi="Arial" w:cs="Arial"/>
          <w:bCs/>
        </w:rPr>
        <w:br/>
      </w:r>
      <w:r w:rsidRPr="002F67B9">
        <w:rPr>
          <w:rStyle w:val="Strong"/>
          <w:rFonts w:ascii="Arial" w:hAnsi="Arial" w:cs="Arial"/>
          <w:b w:val="0"/>
        </w:rPr>
        <w:t xml:space="preserve">      4: THEN K2O = 0.05625 * </w:t>
      </w:r>
      <w:proofErr w:type="spellStart"/>
      <w:r w:rsidRPr="002F67B9">
        <w:rPr>
          <w:rStyle w:val="Strong"/>
          <w:rFonts w:ascii="Arial" w:hAnsi="Arial" w:cs="Arial"/>
          <w:b w:val="0"/>
        </w:rPr>
        <w:t>GRc</w:t>
      </w:r>
      <w:proofErr w:type="spellEnd"/>
      <w:r w:rsidRPr="002F67B9">
        <w:rPr>
          <w:rFonts w:ascii="Arial" w:hAnsi="Arial" w:cs="Arial"/>
          <w:bCs/>
        </w:rPr>
        <w:br/>
      </w:r>
      <w:r w:rsidRPr="002F67B9">
        <w:rPr>
          <w:rStyle w:val="Strong"/>
          <w:rFonts w:ascii="Arial" w:hAnsi="Arial" w:cs="Arial"/>
          <w:b w:val="0"/>
        </w:rPr>
        <w:t>      5: OTHERWISE Use Lookup Table</w:t>
      </w:r>
    </w:p>
    <w:p w14:paraId="718CFC49" w14:textId="77777777" w:rsidR="00271ECF" w:rsidRPr="002F67B9" w:rsidRDefault="00271ECF" w:rsidP="002F67B9">
      <w:pPr>
        <w:pStyle w:val="NormalWeb"/>
        <w:spacing w:before="0" w:beforeAutospacing="0" w:after="0" w:afterAutospacing="0" w:line="276" w:lineRule="auto"/>
        <w:rPr>
          <w:rFonts w:ascii="Arial" w:hAnsi="Arial" w:cs="Arial"/>
        </w:rPr>
      </w:pPr>
      <w:r w:rsidRPr="002F67B9">
        <w:rPr>
          <w:rFonts w:ascii="Arial" w:hAnsi="Arial" w:cs="Arial"/>
        </w:rPr>
        <w:t> </w:t>
      </w:r>
    </w:p>
    <w:p w14:paraId="48B77B39" w14:textId="77777777" w:rsidR="00271ECF" w:rsidRPr="002F67B9" w:rsidRDefault="00271ECF" w:rsidP="002F67B9">
      <w:pPr>
        <w:pStyle w:val="NormalWeb"/>
        <w:spacing w:before="0" w:beforeAutospacing="0" w:after="0" w:afterAutospacing="0" w:line="276" w:lineRule="auto"/>
        <w:rPr>
          <w:rFonts w:ascii="Arial" w:hAnsi="Arial" w:cs="Arial"/>
        </w:rPr>
      </w:pPr>
      <w:r w:rsidRPr="002F67B9">
        <w:rPr>
          <w:rFonts w:ascii="Arial" w:hAnsi="Arial" w:cs="Arial"/>
          <w:bCs/>
        </w:rPr>
        <w:t>The slope in the above equation can be determined by correlation to core assay data for other hole sizes or other tool types.</w:t>
      </w:r>
    </w:p>
    <w:p w14:paraId="41FF198A" w14:textId="77777777" w:rsidR="00271ECF" w:rsidRPr="002F67B9" w:rsidRDefault="00271ECF" w:rsidP="002F67B9">
      <w:pPr>
        <w:pStyle w:val="NormalWeb"/>
        <w:spacing w:before="0" w:beforeAutospacing="0" w:after="0" w:afterAutospacing="0" w:line="276" w:lineRule="auto"/>
        <w:rPr>
          <w:rFonts w:ascii="Arial" w:hAnsi="Arial" w:cs="Arial"/>
        </w:rPr>
      </w:pPr>
      <w:r w:rsidRPr="002F67B9">
        <w:rPr>
          <w:rFonts w:ascii="Arial" w:hAnsi="Arial" w:cs="Arial"/>
        </w:rPr>
        <w:t> </w:t>
      </w:r>
    </w:p>
    <w:p w14:paraId="7283A92F" w14:textId="77777777" w:rsidR="00271ECF" w:rsidRPr="002F67B9" w:rsidRDefault="00271ECF" w:rsidP="002F67B9">
      <w:pPr>
        <w:pStyle w:val="NormalWeb"/>
        <w:spacing w:before="0" w:beforeAutospacing="0" w:after="0" w:afterAutospacing="0" w:line="276" w:lineRule="auto"/>
        <w:rPr>
          <w:rFonts w:ascii="Arial" w:hAnsi="Arial" w:cs="Arial"/>
        </w:rPr>
      </w:pPr>
      <w:r w:rsidRPr="002F67B9">
        <w:rPr>
          <w:rStyle w:val="Strong"/>
          <w:rFonts w:ascii="Arial" w:hAnsi="Arial" w:cs="Arial"/>
          <w:b w:val="0"/>
        </w:rPr>
        <w:t xml:space="preserve">The non-linear relationship must be </w:t>
      </w:r>
      <w:proofErr w:type="spellStart"/>
      <w:r w:rsidRPr="002F67B9">
        <w:rPr>
          <w:rStyle w:val="Strong"/>
          <w:rFonts w:ascii="Arial" w:hAnsi="Arial" w:cs="Arial"/>
          <w:b w:val="0"/>
        </w:rPr>
        <w:t>honoured</w:t>
      </w:r>
      <w:proofErr w:type="spellEnd"/>
      <w:r w:rsidRPr="002F67B9">
        <w:rPr>
          <w:rStyle w:val="Strong"/>
          <w:rFonts w:ascii="Arial" w:hAnsi="Arial" w:cs="Arial"/>
          <w:b w:val="0"/>
        </w:rPr>
        <w:t xml:space="preserve"> while analyzing these older logs for potash. The effect is negligible for conventional oil field applications. Modern digital tools are linear up to about 1000 API units so the discussion in this </w:t>
      </w:r>
      <w:r w:rsidR="00F100F0" w:rsidRPr="002F67B9">
        <w:rPr>
          <w:rStyle w:val="Strong"/>
          <w:rFonts w:ascii="Arial" w:hAnsi="Arial" w:cs="Arial"/>
          <w:b w:val="0"/>
        </w:rPr>
        <w:t>s</w:t>
      </w:r>
      <w:r w:rsidRPr="002F67B9">
        <w:rPr>
          <w:rStyle w:val="Strong"/>
          <w:rFonts w:ascii="Arial" w:hAnsi="Arial" w:cs="Arial"/>
          <w:b w:val="0"/>
        </w:rPr>
        <w:t xml:space="preserve">ection does not apply. </w:t>
      </w:r>
    </w:p>
    <w:p w14:paraId="3FFE590D" w14:textId="77777777" w:rsidR="00271ECF" w:rsidRPr="002F67B9" w:rsidRDefault="00271ECF" w:rsidP="002F67B9">
      <w:pPr>
        <w:pStyle w:val="NormalWeb"/>
        <w:spacing w:before="0" w:beforeAutospacing="0" w:after="0" w:afterAutospacing="0" w:line="276" w:lineRule="auto"/>
        <w:rPr>
          <w:rFonts w:ascii="Arial" w:hAnsi="Arial" w:cs="Arial"/>
        </w:rPr>
      </w:pPr>
      <w:r w:rsidRPr="002F67B9">
        <w:rPr>
          <w:rFonts w:ascii="Arial" w:hAnsi="Arial" w:cs="Arial"/>
        </w:rPr>
        <w:t> </w:t>
      </w:r>
    </w:p>
    <w:p w14:paraId="1BAB0DA2" w14:textId="231A8D17" w:rsidR="00271ECF" w:rsidRPr="002F67B9" w:rsidRDefault="00271ECF" w:rsidP="002F67B9">
      <w:pPr>
        <w:pStyle w:val="NormalWeb"/>
        <w:spacing w:before="0" w:beforeAutospacing="0" w:after="0" w:afterAutospacing="0" w:line="276" w:lineRule="auto"/>
        <w:rPr>
          <w:rFonts w:ascii="Arial" w:hAnsi="Arial" w:cs="Arial"/>
          <w:bCs/>
        </w:rPr>
      </w:pPr>
      <w:r w:rsidRPr="002F67B9">
        <w:rPr>
          <w:rStyle w:val="Strong"/>
          <w:rFonts w:ascii="Arial" w:hAnsi="Arial" w:cs="Arial"/>
          <w:caps/>
        </w:rPr>
        <w:t>NON-OILFIELD GAMMA RAY TOOLS</w:t>
      </w:r>
      <w:r w:rsidRPr="002F67B9">
        <w:rPr>
          <w:rFonts w:ascii="Arial" w:hAnsi="Arial" w:cs="Arial"/>
          <w:bCs/>
          <w:caps/>
        </w:rPr>
        <w:br/>
      </w:r>
      <w:r w:rsidRPr="002F67B9">
        <w:rPr>
          <w:rFonts w:ascii="Arial" w:hAnsi="Arial" w:cs="Arial"/>
          <w:bCs/>
        </w:rPr>
        <w:t xml:space="preserve">Many potash exploration wells in the USA and elsewhere were logged with slim hole GR tools intended for uranium work. While they may have been more linear, they were not usually calibrated to any standard, suffered from larger borehole effects, and were recorded in counts per second (cps). Specific correlations to core assay data on a well by well basis are required. </w:t>
      </w:r>
      <w:r w:rsidR="00ED0A3F" w:rsidRPr="002F67B9">
        <w:rPr>
          <w:rFonts w:ascii="Arial" w:hAnsi="Arial" w:cs="Arial"/>
          <w:bCs/>
        </w:rPr>
        <w:t>For m</w:t>
      </w:r>
      <w:r w:rsidR="00A20066" w:rsidRPr="002F67B9">
        <w:rPr>
          <w:rFonts w:ascii="Arial" w:hAnsi="Arial" w:cs="Arial"/>
          <w:bCs/>
        </w:rPr>
        <w:t>ore on this</w:t>
      </w:r>
      <w:r w:rsidR="00ED0A3F" w:rsidRPr="002F67B9">
        <w:rPr>
          <w:rFonts w:ascii="Arial" w:hAnsi="Arial" w:cs="Arial"/>
          <w:bCs/>
        </w:rPr>
        <w:t xml:space="preserve">, see </w:t>
      </w:r>
      <w:hyperlink r:id="rId11" w:history="1">
        <w:r w:rsidR="008121E2">
          <w:rPr>
            <w:rStyle w:val="Hyperlink"/>
            <w:rFonts w:ascii="Arial" w:hAnsi="Arial" w:cs="Arial"/>
            <w:bCs/>
          </w:rPr>
          <w:t>Potash Analysis</w:t>
        </w:r>
      </w:hyperlink>
      <w:r w:rsidR="008121E2">
        <w:rPr>
          <w:rStyle w:val="Hyperlink"/>
          <w:rFonts w:ascii="Arial" w:hAnsi="Arial" w:cs="Arial"/>
          <w:bCs/>
        </w:rPr>
        <w:t xml:space="preserve"> </w:t>
      </w:r>
      <w:r w:rsidR="008121E2">
        <w:rPr>
          <w:rStyle w:val="Hyperlink"/>
          <w:rFonts w:ascii="Arial" w:hAnsi="Arial" w:cs="Arial"/>
          <w:bCs/>
          <w:color w:val="auto"/>
        </w:rPr>
        <w:t>in Chapter 18, Green Economy Petrophysics</w:t>
      </w:r>
      <w:r w:rsidR="00A20066" w:rsidRPr="002F67B9">
        <w:rPr>
          <w:rFonts w:ascii="Arial" w:hAnsi="Arial" w:cs="Arial"/>
          <w:bCs/>
        </w:rPr>
        <w:t xml:space="preserve">. </w:t>
      </w:r>
      <w:r w:rsidR="00ED0A3F" w:rsidRPr="002F67B9">
        <w:rPr>
          <w:rFonts w:ascii="Arial" w:hAnsi="Arial" w:cs="Arial"/>
          <w:bCs/>
        </w:rPr>
        <w:br/>
      </w:r>
    </w:p>
    <w:p w14:paraId="0C36C563" w14:textId="77EB3C43" w:rsidR="00271ECF" w:rsidRPr="002F67B9" w:rsidRDefault="007F711A" w:rsidP="002F67B9">
      <w:pPr>
        <w:pStyle w:val="NormalWeb"/>
        <w:spacing w:line="276" w:lineRule="auto"/>
      </w:pPr>
      <w:r w:rsidRPr="00FC7310">
        <w:rPr>
          <w:b/>
          <w:noProof/>
          <w:lang w:val="en-CA" w:eastAsia="en-CA"/>
        </w:rPr>
        <w:lastRenderedPageBreak/>
        <w:drawing>
          <wp:anchor distT="0" distB="0" distL="114300" distR="114300" simplePos="0" relativeHeight="251658240" behindDoc="0" locked="0" layoutInCell="1" allowOverlap="1" wp14:anchorId="4250C78D" wp14:editId="30043D99">
            <wp:simplePos x="0" y="0"/>
            <wp:positionH relativeFrom="column">
              <wp:posOffset>4187190</wp:posOffset>
            </wp:positionH>
            <wp:positionV relativeFrom="paragraph">
              <wp:posOffset>731520</wp:posOffset>
            </wp:positionV>
            <wp:extent cx="2291080" cy="3121660"/>
            <wp:effectExtent l="38100" t="38100" r="33020" b="40640"/>
            <wp:wrapSquare wrapText="bothSides"/>
            <wp:docPr id="264" name="Picture 264" descr="Figure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Figure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1080" cy="3121660"/>
                    </a:xfrm>
                    <a:prstGeom prst="rect">
                      <a:avLst/>
                    </a:prstGeom>
                    <a:noFill/>
                    <a:ln w="28575">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00FC7310" w:rsidRPr="00FC7310">
        <w:rPr>
          <w:rStyle w:val="Strong"/>
          <w:rFonts w:ascii="Arial" w:hAnsi="Arial" w:cs="Arial"/>
          <w:bCs w:val="0"/>
          <w:caps/>
        </w:rPr>
        <w:t>USING ANCIENT NEUTRON LOGS</w:t>
      </w:r>
      <w:r w:rsidR="00FC7310" w:rsidRPr="00AC78D2">
        <w:rPr>
          <w:rFonts w:ascii="Arial" w:hAnsi="Arial" w:cs="Arial"/>
          <w:b/>
          <w:caps/>
        </w:rPr>
        <w:t xml:space="preserve"> </w:t>
      </w:r>
      <w:r w:rsidR="00271ECF" w:rsidRPr="00AC78D2">
        <w:rPr>
          <w:rFonts w:ascii="Arial" w:hAnsi="Arial" w:cs="Arial"/>
          <w:b/>
          <w:caps/>
        </w:rPr>
        <w:br/>
      </w:r>
      <w:r w:rsidR="00271ECF" w:rsidRPr="002F67B9">
        <w:rPr>
          <w:rFonts w:ascii="Arial" w:hAnsi="Arial" w:cs="Arial"/>
          <w:bCs/>
        </w:rPr>
        <w:t>Due to the water of hydration associated with carn</w:t>
      </w:r>
      <w:r w:rsidR="00B74AE4" w:rsidRPr="002F67B9">
        <w:rPr>
          <w:rFonts w:ascii="Arial" w:hAnsi="Arial" w:cs="Arial"/>
          <w:bCs/>
        </w:rPr>
        <w:t xml:space="preserve">allite, the neutron log is very </w:t>
      </w:r>
      <w:r w:rsidR="00271ECF" w:rsidRPr="002F67B9">
        <w:rPr>
          <w:rFonts w:ascii="Arial" w:hAnsi="Arial" w:cs="Arial"/>
          <w:bCs/>
        </w:rPr>
        <w:t>useful for distinguishing between carnallite and sylvite. High neutron count rates mean low hydrogen index, thus sylvite and not carnallite.</w:t>
      </w:r>
    </w:p>
    <w:p w14:paraId="2C3F3005" w14:textId="77777777" w:rsidR="00F95A75" w:rsidRPr="002F67B9" w:rsidRDefault="00F95A75" w:rsidP="002F67B9">
      <w:pPr>
        <w:pStyle w:val="NormalWeb"/>
        <w:spacing w:line="276" w:lineRule="auto"/>
        <w:rPr>
          <w:rFonts w:ascii="Arial" w:hAnsi="Arial" w:cs="Arial"/>
          <w:bCs/>
        </w:rPr>
      </w:pPr>
      <w:r w:rsidRPr="002F67B9">
        <w:rPr>
          <w:rFonts w:ascii="Arial" w:hAnsi="Arial" w:cs="Arial"/>
          <w:bCs/>
          <w:i/>
          <w:iCs/>
        </w:rPr>
        <w:t>Figure</w:t>
      </w:r>
      <w:r w:rsidR="00F100F0" w:rsidRPr="002F67B9">
        <w:rPr>
          <w:rFonts w:ascii="Arial" w:hAnsi="Arial" w:cs="Arial"/>
          <w:bCs/>
          <w:i/>
          <w:iCs/>
        </w:rPr>
        <w:t xml:space="preserve"> 5</w:t>
      </w:r>
      <w:r w:rsidRPr="002F67B9">
        <w:rPr>
          <w:rFonts w:ascii="Arial" w:hAnsi="Arial" w:cs="Arial"/>
          <w:bCs/>
          <w:i/>
          <w:iCs/>
        </w:rPr>
        <w:t>: Empirical neutron porosity chart for old neutron logs</w:t>
      </w:r>
      <w:r w:rsidRPr="002F67B9">
        <w:rPr>
          <w:rFonts w:ascii="Arial" w:hAnsi="Arial" w:cs="Arial"/>
          <w:bCs/>
        </w:rPr>
        <w:t xml:space="preserve"> </w:t>
      </w:r>
      <w:r w:rsidRPr="002F67B9">
        <w:rPr>
          <w:rFonts w:ascii="Arial" w:hAnsi="Arial" w:cs="Arial"/>
          <w:bCs/>
        </w:rPr>
        <w:sym w:font="Wingdings" w:char="F0E8"/>
      </w:r>
    </w:p>
    <w:p w14:paraId="0F220D7B" w14:textId="77777777" w:rsidR="00271ECF" w:rsidRPr="002F67B9" w:rsidRDefault="00271ECF" w:rsidP="002F67B9">
      <w:pPr>
        <w:pStyle w:val="NormalWeb"/>
        <w:spacing w:line="276" w:lineRule="auto"/>
      </w:pPr>
      <w:r w:rsidRPr="002F67B9">
        <w:rPr>
          <w:rFonts w:ascii="Arial" w:hAnsi="Arial" w:cs="Arial"/>
          <w:bCs/>
        </w:rPr>
        <w:t>To quantify the relative amounts of carnallite and sylvite, the neutron response must be converted to porosity from count rates using the standard semi-logarithmic relationship. A typical transform for a 1960's era Sch</w:t>
      </w:r>
      <w:r w:rsidR="00747469" w:rsidRPr="002F67B9">
        <w:rPr>
          <w:rFonts w:ascii="Arial" w:hAnsi="Arial" w:cs="Arial"/>
          <w:bCs/>
        </w:rPr>
        <w:t>lumberger tool is shown at the right.</w:t>
      </w:r>
      <w:r w:rsidRPr="002F67B9">
        <w:rPr>
          <w:rFonts w:ascii="Arial" w:hAnsi="Arial" w:cs="Arial"/>
          <w:bCs/>
        </w:rPr>
        <w:t xml:space="preserve"> Charts for other tools can be found in ancient service company chart books.</w:t>
      </w:r>
      <w:r w:rsidR="00747469" w:rsidRPr="002F67B9">
        <w:rPr>
          <w:rFonts w:ascii="Arial" w:hAnsi="Arial" w:cs="Arial"/>
          <w:bCs/>
        </w:rPr>
        <w:t xml:space="preserve"> </w:t>
      </w:r>
      <w:r w:rsidRPr="002F67B9">
        <w:rPr>
          <w:rFonts w:ascii="Arial" w:hAnsi="Arial" w:cs="Arial"/>
          <w:bCs/>
        </w:rPr>
        <w:t xml:space="preserve">With the advent of the sidewall neutron log in 1969 and later the compensated neutron log, this transform was no longer required. </w:t>
      </w:r>
    </w:p>
    <w:p w14:paraId="286BDD1C" w14:textId="77777777" w:rsidR="00271ECF" w:rsidRPr="002F67B9" w:rsidRDefault="00271ECF" w:rsidP="002F67B9">
      <w:pPr>
        <w:pStyle w:val="NormalWeb"/>
        <w:spacing w:line="276" w:lineRule="auto"/>
      </w:pPr>
      <w:r w:rsidRPr="008C33B0">
        <w:rPr>
          <w:rStyle w:val="Strong"/>
          <w:rFonts w:ascii="Arial" w:hAnsi="Arial" w:cs="Arial"/>
          <w:caps/>
        </w:rPr>
        <w:t>USING SONIC AND DENSITY LOGS</w:t>
      </w:r>
      <w:r w:rsidRPr="008C33B0">
        <w:rPr>
          <w:rFonts w:ascii="Arial" w:hAnsi="Arial" w:cs="Arial"/>
          <w:bCs/>
          <w:caps/>
        </w:rPr>
        <w:br/>
      </w:r>
      <w:r w:rsidRPr="002F67B9">
        <w:rPr>
          <w:rFonts w:ascii="Arial" w:hAnsi="Arial" w:cs="Arial"/>
          <w:bCs/>
        </w:rPr>
        <w:t xml:space="preserve">Some </w:t>
      </w:r>
      <w:r w:rsidR="00B74AE4" w:rsidRPr="002F67B9">
        <w:rPr>
          <w:rFonts w:ascii="Arial" w:hAnsi="Arial" w:cs="Arial"/>
          <w:bCs/>
        </w:rPr>
        <w:t xml:space="preserve">older </w:t>
      </w:r>
      <w:r w:rsidRPr="002F67B9">
        <w:rPr>
          <w:rFonts w:ascii="Arial" w:hAnsi="Arial" w:cs="Arial"/>
          <w:bCs/>
        </w:rPr>
        <w:t xml:space="preserve">wells were logged with sonic and/or density logs which also could be used quantitatively with the GR and neutron to provide a potash assay. This was important where core was lost or for regional exploration when core data, but not the logs, were proprietary. The logic behind these models is shown below. A later </w:t>
      </w:r>
      <w:r w:rsidR="0055586D" w:rsidRPr="002F67B9">
        <w:rPr>
          <w:rFonts w:ascii="Arial" w:hAnsi="Arial" w:cs="Arial"/>
          <w:bCs/>
        </w:rPr>
        <w:t>s</w:t>
      </w:r>
      <w:r w:rsidRPr="002F67B9">
        <w:rPr>
          <w:rFonts w:ascii="Arial" w:hAnsi="Arial" w:cs="Arial"/>
          <w:bCs/>
        </w:rPr>
        <w:t>ection of this article deals with the use of more modern logs.</w:t>
      </w:r>
    </w:p>
    <w:p w14:paraId="4D0E4234" w14:textId="77777777" w:rsidR="00271ECF" w:rsidRPr="002F67B9" w:rsidRDefault="00271ECF" w:rsidP="002F67B9">
      <w:pPr>
        <w:pStyle w:val="NormalWeb"/>
        <w:spacing w:line="276" w:lineRule="auto"/>
      </w:pPr>
      <w:r w:rsidRPr="008C33B0">
        <w:rPr>
          <w:rStyle w:val="Strong"/>
          <w:rFonts w:ascii="Arial" w:hAnsi="Arial" w:cs="Arial"/>
          <w:caps/>
          <w:color w:val="000000"/>
        </w:rPr>
        <w:t xml:space="preserve">POTASH  </w:t>
      </w:r>
      <w:r w:rsidR="002D7E79" w:rsidRPr="008C33B0">
        <w:rPr>
          <w:rStyle w:val="Strong"/>
          <w:rFonts w:ascii="Arial" w:hAnsi="Arial" w:cs="Arial"/>
          <w:caps/>
          <w:color w:val="000000"/>
        </w:rPr>
        <w:t xml:space="preserve">ANALYSIS </w:t>
      </w:r>
      <w:r w:rsidRPr="008C33B0">
        <w:rPr>
          <w:rStyle w:val="Strong"/>
          <w:rFonts w:ascii="Arial" w:hAnsi="Arial" w:cs="Arial"/>
          <w:caps/>
          <w:color w:val="000000"/>
        </w:rPr>
        <w:t>ModelS</w:t>
      </w:r>
      <w:r w:rsidRPr="008C33B0">
        <w:rPr>
          <w:rFonts w:ascii="Arial" w:hAnsi="Arial" w:cs="Arial"/>
          <w:bCs/>
          <w:color w:val="000000"/>
        </w:rPr>
        <w:br/>
      </w:r>
      <w:r w:rsidR="008A438F" w:rsidRPr="002F67B9">
        <w:rPr>
          <w:rStyle w:val="Strong"/>
          <w:rFonts w:ascii="Arial" w:hAnsi="Arial" w:cs="Arial"/>
          <w:b w:val="0"/>
        </w:rPr>
        <w:t>The</w:t>
      </w:r>
      <w:r w:rsidRPr="002F67B9">
        <w:rPr>
          <w:rStyle w:val="Strong"/>
          <w:rFonts w:ascii="Arial" w:hAnsi="Arial" w:cs="Arial"/>
          <w:b w:val="0"/>
        </w:rPr>
        <w:t xml:space="preserve"> original computer program for potash analysis was written for the IBM 1620 in Regina in 1964. The model was based on four simultaneous equations that define the response of the available logs. Although this seems like a long time ago, nothing has changed except the improved tool accuracy. </w:t>
      </w:r>
    </w:p>
    <w:p w14:paraId="370EA639" w14:textId="77777777" w:rsidR="00271ECF" w:rsidRPr="002F67B9" w:rsidRDefault="008A438F" w:rsidP="002F67B9">
      <w:pPr>
        <w:pStyle w:val="NormalWeb"/>
        <w:spacing w:line="276" w:lineRule="auto"/>
      </w:pPr>
      <w:r w:rsidRPr="002F67B9">
        <w:rPr>
          <w:rStyle w:val="Strong"/>
          <w:rFonts w:ascii="Arial" w:hAnsi="Arial" w:cs="Arial"/>
          <w:b w:val="0"/>
        </w:rPr>
        <w:t xml:space="preserve">Once K2O has been found from the GR, we can set up a set of linear simultaneous equations and solve them. </w:t>
      </w:r>
      <w:r w:rsidR="00271ECF" w:rsidRPr="002F67B9">
        <w:rPr>
          <w:rStyle w:val="Strong"/>
          <w:rFonts w:ascii="Arial" w:hAnsi="Arial" w:cs="Arial"/>
          <w:b w:val="0"/>
        </w:rPr>
        <w:t xml:space="preserve">The minerals sought are halite (rock salt), sylvite, carnallite, and </w:t>
      </w:r>
      <w:r w:rsidRPr="002F67B9">
        <w:rPr>
          <w:rStyle w:val="Strong"/>
          <w:rFonts w:ascii="Arial" w:hAnsi="Arial" w:cs="Arial"/>
          <w:b w:val="0"/>
        </w:rPr>
        <w:t>insoluble (</w:t>
      </w:r>
      <w:r w:rsidR="00271ECF" w:rsidRPr="002F67B9">
        <w:rPr>
          <w:rStyle w:val="Strong"/>
          <w:rFonts w:ascii="Arial" w:hAnsi="Arial" w:cs="Arial"/>
          <w:b w:val="0"/>
        </w:rPr>
        <w:t>clay</w:t>
      </w:r>
      <w:r w:rsidRPr="002F67B9">
        <w:rPr>
          <w:rStyle w:val="Strong"/>
          <w:rFonts w:ascii="Arial" w:hAnsi="Arial" w:cs="Arial"/>
          <w:b w:val="0"/>
        </w:rPr>
        <w:t>)</w:t>
      </w:r>
      <w:r w:rsidR="00271ECF" w:rsidRPr="002F67B9">
        <w:rPr>
          <w:rStyle w:val="Strong"/>
          <w:rFonts w:ascii="Arial" w:hAnsi="Arial" w:cs="Arial"/>
          <w:b w:val="0"/>
        </w:rPr>
        <w:t xml:space="preserve">. The only logs available on old wells are resistivity, sonic, neutron, and total gamma ray. The resistivity is not a helpful discriminator, except as a shale bed indicator, so it is not used in the simultaneous solution. </w:t>
      </w:r>
      <w:r w:rsidRPr="002F67B9">
        <w:rPr>
          <w:rStyle w:val="Strong"/>
          <w:rFonts w:ascii="Arial" w:hAnsi="Arial" w:cs="Arial"/>
          <w:b w:val="0"/>
        </w:rPr>
        <w:br/>
      </w:r>
      <w:r w:rsidRPr="002F67B9">
        <w:rPr>
          <w:rStyle w:val="Strong"/>
          <w:rFonts w:ascii="Arial" w:hAnsi="Arial" w:cs="Arial"/>
          <w:b w:val="0"/>
        </w:rPr>
        <w:br/>
      </w:r>
      <w:r w:rsidR="00271ECF" w:rsidRPr="002F67B9">
        <w:rPr>
          <w:rStyle w:val="Strong"/>
          <w:rFonts w:ascii="Arial" w:hAnsi="Arial" w:cs="Arial"/>
          <w:b w:val="0"/>
        </w:rPr>
        <w:t>In middle aged wells, the density log is also helpful, and in modern wells the PE curve can be added. Further, the gamma ray response is linear on modern wells so the transform to K2O is not as difficult to obtain.</w:t>
      </w:r>
      <w:r w:rsidR="00271ECF" w:rsidRPr="002F67B9">
        <w:rPr>
          <w:rFonts w:ascii="Arial" w:hAnsi="Arial" w:cs="Arial"/>
          <w:bCs/>
        </w:rPr>
        <w:br/>
      </w:r>
      <w:r w:rsidR="00271ECF" w:rsidRPr="002F67B9">
        <w:rPr>
          <w:rFonts w:ascii="Arial" w:hAnsi="Arial" w:cs="Arial"/>
          <w:bCs/>
        </w:rPr>
        <w:br/>
      </w:r>
      <w:r w:rsidR="00271ECF" w:rsidRPr="002F67B9">
        <w:rPr>
          <w:rStyle w:val="Strong"/>
          <w:rFonts w:ascii="Arial" w:hAnsi="Arial" w:cs="Arial"/>
          <w:b w:val="0"/>
        </w:rPr>
        <w:t xml:space="preserve">The </w:t>
      </w:r>
      <w:r w:rsidR="00E22A1F" w:rsidRPr="002F67B9">
        <w:rPr>
          <w:rStyle w:val="Strong"/>
          <w:rFonts w:ascii="Arial" w:hAnsi="Arial" w:cs="Arial"/>
          <w:b w:val="0"/>
        </w:rPr>
        <w:t xml:space="preserve">linear </w:t>
      </w:r>
      <w:r w:rsidR="00271ECF" w:rsidRPr="002F67B9">
        <w:rPr>
          <w:rStyle w:val="Strong"/>
          <w:rFonts w:ascii="Arial" w:hAnsi="Arial" w:cs="Arial"/>
          <w:b w:val="0"/>
        </w:rPr>
        <w:t>equations are:</w:t>
      </w:r>
      <w:r w:rsidR="00271ECF" w:rsidRPr="002F67B9">
        <w:rPr>
          <w:rFonts w:ascii="Arial" w:hAnsi="Arial" w:cs="Arial"/>
          <w:bCs/>
        </w:rPr>
        <w:br/>
      </w:r>
      <w:r w:rsidR="00271ECF" w:rsidRPr="002F67B9">
        <w:rPr>
          <w:rStyle w:val="Strong"/>
          <w:rFonts w:ascii="Arial" w:hAnsi="Arial" w:cs="Arial"/>
          <w:b w:val="0"/>
        </w:rPr>
        <w:t xml:space="preserve">      1.00 = </w:t>
      </w:r>
      <w:proofErr w:type="spellStart"/>
      <w:r w:rsidR="00271ECF" w:rsidRPr="002F67B9">
        <w:rPr>
          <w:rStyle w:val="Strong"/>
          <w:rFonts w:ascii="Arial" w:hAnsi="Arial" w:cs="Arial"/>
          <w:b w:val="0"/>
        </w:rPr>
        <w:t>Vsalt</w:t>
      </w:r>
      <w:proofErr w:type="spellEnd"/>
      <w:r w:rsidR="00271ECF" w:rsidRPr="002F67B9">
        <w:rPr>
          <w:rStyle w:val="Strong"/>
          <w:rFonts w:ascii="Arial" w:hAnsi="Arial" w:cs="Arial"/>
          <w:b w:val="0"/>
        </w:rPr>
        <w:t xml:space="preserve"> + </w:t>
      </w:r>
      <w:proofErr w:type="spellStart"/>
      <w:r w:rsidR="00271ECF" w:rsidRPr="002F67B9">
        <w:rPr>
          <w:rStyle w:val="Strong"/>
          <w:rFonts w:ascii="Arial" w:hAnsi="Arial" w:cs="Arial"/>
          <w:b w:val="0"/>
        </w:rPr>
        <w:t>Vsylv</w:t>
      </w:r>
      <w:proofErr w:type="spellEnd"/>
      <w:r w:rsidR="00271ECF" w:rsidRPr="002F67B9">
        <w:rPr>
          <w:rStyle w:val="Strong"/>
          <w:rFonts w:ascii="Arial" w:hAnsi="Arial" w:cs="Arial"/>
          <w:b w:val="0"/>
        </w:rPr>
        <w:t xml:space="preserve"> + </w:t>
      </w:r>
      <w:proofErr w:type="spellStart"/>
      <w:r w:rsidR="00271ECF" w:rsidRPr="002F67B9">
        <w:rPr>
          <w:rStyle w:val="Strong"/>
          <w:rFonts w:ascii="Arial" w:hAnsi="Arial" w:cs="Arial"/>
          <w:b w:val="0"/>
        </w:rPr>
        <w:t>Vcarn</w:t>
      </w:r>
      <w:proofErr w:type="spellEnd"/>
      <w:r w:rsidR="00271ECF" w:rsidRPr="002F67B9">
        <w:rPr>
          <w:rStyle w:val="Strong"/>
          <w:rFonts w:ascii="Arial" w:hAnsi="Arial" w:cs="Arial"/>
          <w:b w:val="0"/>
        </w:rPr>
        <w:t xml:space="preserve"> + </w:t>
      </w:r>
      <w:proofErr w:type="spellStart"/>
      <w:r w:rsidR="00271ECF" w:rsidRPr="002F67B9">
        <w:rPr>
          <w:rStyle w:val="Strong"/>
          <w:rFonts w:ascii="Arial" w:hAnsi="Arial" w:cs="Arial"/>
          <w:b w:val="0"/>
        </w:rPr>
        <w:t>Vclay</w:t>
      </w:r>
      <w:proofErr w:type="spellEnd"/>
      <w:r w:rsidR="00271ECF" w:rsidRPr="002F67B9">
        <w:rPr>
          <w:rFonts w:ascii="Arial" w:hAnsi="Arial" w:cs="Arial"/>
          <w:bCs/>
        </w:rPr>
        <w:br/>
      </w:r>
      <w:r w:rsidR="00271ECF" w:rsidRPr="002F67B9">
        <w:rPr>
          <w:rStyle w:val="Strong"/>
          <w:rFonts w:ascii="Arial" w:hAnsi="Arial" w:cs="Arial"/>
          <w:b w:val="0"/>
        </w:rPr>
        <w:t xml:space="preserve">      K20 = 0.00 * </w:t>
      </w:r>
      <w:proofErr w:type="spellStart"/>
      <w:r w:rsidR="00271ECF" w:rsidRPr="002F67B9">
        <w:rPr>
          <w:rStyle w:val="Strong"/>
          <w:rFonts w:ascii="Arial" w:hAnsi="Arial" w:cs="Arial"/>
          <w:b w:val="0"/>
        </w:rPr>
        <w:t>Vsalt</w:t>
      </w:r>
      <w:proofErr w:type="spellEnd"/>
      <w:r w:rsidR="00271ECF" w:rsidRPr="002F67B9">
        <w:rPr>
          <w:rStyle w:val="Strong"/>
          <w:rFonts w:ascii="Arial" w:hAnsi="Arial" w:cs="Arial"/>
          <w:b w:val="0"/>
        </w:rPr>
        <w:t xml:space="preserve"> + 0.63 * </w:t>
      </w:r>
      <w:proofErr w:type="spellStart"/>
      <w:r w:rsidR="00271ECF" w:rsidRPr="002F67B9">
        <w:rPr>
          <w:rStyle w:val="Strong"/>
          <w:rFonts w:ascii="Arial" w:hAnsi="Arial" w:cs="Arial"/>
          <w:b w:val="0"/>
        </w:rPr>
        <w:t>Vsylv</w:t>
      </w:r>
      <w:proofErr w:type="spellEnd"/>
      <w:r w:rsidR="00271ECF" w:rsidRPr="002F67B9">
        <w:rPr>
          <w:rStyle w:val="Strong"/>
          <w:rFonts w:ascii="Arial" w:hAnsi="Arial" w:cs="Arial"/>
          <w:b w:val="0"/>
        </w:rPr>
        <w:t xml:space="preserve"> + 0.17 * </w:t>
      </w:r>
      <w:proofErr w:type="spellStart"/>
      <w:r w:rsidR="00271ECF" w:rsidRPr="002F67B9">
        <w:rPr>
          <w:rStyle w:val="Strong"/>
          <w:rFonts w:ascii="Arial" w:hAnsi="Arial" w:cs="Arial"/>
          <w:b w:val="0"/>
        </w:rPr>
        <w:t>Vcarn</w:t>
      </w:r>
      <w:proofErr w:type="spellEnd"/>
      <w:r w:rsidR="00271ECF" w:rsidRPr="002F67B9">
        <w:rPr>
          <w:rStyle w:val="Strong"/>
          <w:rFonts w:ascii="Arial" w:hAnsi="Arial" w:cs="Arial"/>
          <w:b w:val="0"/>
        </w:rPr>
        <w:t xml:space="preserve"> + 0.05 * </w:t>
      </w:r>
      <w:proofErr w:type="spellStart"/>
      <w:r w:rsidR="00271ECF" w:rsidRPr="002F67B9">
        <w:rPr>
          <w:rStyle w:val="Strong"/>
          <w:rFonts w:ascii="Arial" w:hAnsi="Arial" w:cs="Arial"/>
          <w:b w:val="0"/>
        </w:rPr>
        <w:t>Vclay</w:t>
      </w:r>
      <w:proofErr w:type="spellEnd"/>
      <w:r w:rsidR="00271ECF" w:rsidRPr="002F67B9">
        <w:rPr>
          <w:rFonts w:ascii="Arial" w:hAnsi="Arial" w:cs="Arial"/>
          <w:bCs/>
        </w:rPr>
        <w:br/>
      </w:r>
      <w:r w:rsidR="00271ECF" w:rsidRPr="002F67B9">
        <w:rPr>
          <w:rStyle w:val="Strong"/>
          <w:rFonts w:ascii="Arial" w:hAnsi="Arial" w:cs="Arial"/>
          <w:b w:val="0"/>
        </w:rPr>
        <w:lastRenderedPageBreak/>
        <w:t xml:space="preserve">      PHIN = 0.00 * </w:t>
      </w:r>
      <w:proofErr w:type="spellStart"/>
      <w:r w:rsidR="00271ECF" w:rsidRPr="002F67B9">
        <w:rPr>
          <w:rStyle w:val="Strong"/>
          <w:rFonts w:ascii="Arial" w:hAnsi="Arial" w:cs="Arial"/>
          <w:b w:val="0"/>
        </w:rPr>
        <w:t>Vsalt</w:t>
      </w:r>
      <w:proofErr w:type="spellEnd"/>
      <w:r w:rsidR="00271ECF" w:rsidRPr="002F67B9">
        <w:rPr>
          <w:rStyle w:val="Strong"/>
          <w:rFonts w:ascii="Arial" w:hAnsi="Arial" w:cs="Arial"/>
          <w:b w:val="0"/>
        </w:rPr>
        <w:t xml:space="preserve"> + 0.00 * </w:t>
      </w:r>
      <w:proofErr w:type="spellStart"/>
      <w:r w:rsidR="00271ECF" w:rsidRPr="002F67B9">
        <w:rPr>
          <w:rStyle w:val="Strong"/>
          <w:rFonts w:ascii="Arial" w:hAnsi="Arial" w:cs="Arial"/>
          <w:b w:val="0"/>
        </w:rPr>
        <w:t>Vsylv</w:t>
      </w:r>
      <w:proofErr w:type="spellEnd"/>
      <w:r w:rsidR="00271ECF" w:rsidRPr="002F67B9">
        <w:rPr>
          <w:rStyle w:val="Strong"/>
          <w:rFonts w:ascii="Arial" w:hAnsi="Arial" w:cs="Arial"/>
          <w:b w:val="0"/>
        </w:rPr>
        <w:t xml:space="preserve"> + 0.65 * </w:t>
      </w:r>
      <w:proofErr w:type="spellStart"/>
      <w:r w:rsidR="00271ECF" w:rsidRPr="002F67B9">
        <w:rPr>
          <w:rStyle w:val="Strong"/>
          <w:rFonts w:ascii="Arial" w:hAnsi="Arial" w:cs="Arial"/>
          <w:b w:val="0"/>
        </w:rPr>
        <w:t>Vcarn</w:t>
      </w:r>
      <w:proofErr w:type="spellEnd"/>
      <w:r w:rsidR="00271ECF" w:rsidRPr="002F67B9">
        <w:rPr>
          <w:rStyle w:val="Strong"/>
          <w:rFonts w:ascii="Arial" w:hAnsi="Arial" w:cs="Arial"/>
          <w:b w:val="0"/>
        </w:rPr>
        <w:t xml:space="preserve"> + 0.30 * </w:t>
      </w:r>
      <w:proofErr w:type="spellStart"/>
      <w:r w:rsidR="00271ECF" w:rsidRPr="002F67B9">
        <w:rPr>
          <w:rStyle w:val="Strong"/>
          <w:rFonts w:ascii="Arial" w:hAnsi="Arial" w:cs="Arial"/>
          <w:b w:val="0"/>
        </w:rPr>
        <w:t>Vclay</w:t>
      </w:r>
      <w:proofErr w:type="spellEnd"/>
      <w:r w:rsidR="00271ECF" w:rsidRPr="002F67B9">
        <w:rPr>
          <w:rFonts w:ascii="Arial" w:hAnsi="Arial" w:cs="Arial"/>
          <w:bCs/>
        </w:rPr>
        <w:br/>
      </w:r>
      <w:r w:rsidR="00271ECF" w:rsidRPr="002F67B9">
        <w:rPr>
          <w:rStyle w:val="Strong"/>
          <w:rFonts w:ascii="Arial" w:hAnsi="Arial" w:cs="Arial"/>
          <w:b w:val="0"/>
        </w:rPr>
        <w:t xml:space="preserve">      DELT = 67 * </w:t>
      </w:r>
      <w:proofErr w:type="spellStart"/>
      <w:r w:rsidR="00271ECF" w:rsidRPr="002F67B9">
        <w:rPr>
          <w:rStyle w:val="Strong"/>
          <w:rFonts w:ascii="Arial" w:hAnsi="Arial" w:cs="Arial"/>
          <w:b w:val="0"/>
        </w:rPr>
        <w:t>Vsalt</w:t>
      </w:r>
      <w:proofErr w:type="spellEnd"/>
      <w:r w:rsidR="00271ECF" w:rsidRPr="002F67B9">
        <w:rPr>
          <w:rStyle w:val="Strong"/>
          <w:rFonts w:ascii="Arial" w:hAnsi="Arial" w:cs="Arial"/>
          <w:b w:val="0"/>
        </w:rPr>
        <w:t xml:space="preserve"> + 74 * </w:t>
      </w:r>
      <w:proofErr w:type="spellStart"/>
      <w:r w:rsidR="00271ECF" w:rsidRPr="002F67B9">
        <w:rPr>
          <w:rStyle w:val="Strong"/>
          <w:rFonts w:ascii="Arial" w:hAnsi="Arial" w:cs="Arial"/>
          <w:b w:val="0"/>
        </w:rPr>
        <w:t>Vsylv</w:t>
      </w:r>
      <w:proofErr w:type="spellEnd"/>
      <w:r w:rsidR="00271ECF" w:rsidRPr="002F67B9">
        <w:rPr>
          <w:rStyle w:val="Strong"/>
          <w:rFonts w:ascii="Arial" w:hAnsi="Arial" w:cs="Arial"/>
          <w:b w:val="0"/>
        </w:rPr>
        <w:t xml:space="preserve"> + 78 * </w:t>
      </w:r>
      <w:proofErr w:type="spellStart"/>
      <w:r w:rsidR="00271ECF" w:rsidRPr="002F67B9">
        <w:rPr>
          <w:rStyle w:val="Strong"/>
          <w:rFonts w:ascii="Arial" w:hAnsi="Arial" w:cs="Arial"/>
          <w:b w:val="0"/>
        </w:rPr>
        <w:t>Vcarn</w:t>
      </w:r>
      <w:proofErr w:type="spellEnd"/>
      <w:r w:rsidR="00271ECF" w:rsidRPr="002F67B9">
        <w:rPr>
          <w:rStyle w:val="Strong"/>
          <w:rFonts w:ascii="Arial" w:hAnsi="Arial" w:cs="Arial"/>
          <w:b w:val="0"/>
        </w:rPr>
        <w:t xml:space="preserve"> + 120 * </w:t>
      </w:r>
      <w:proofErr w:type="spellStart"/>
      <w:r w:rsidR="00271ECF" w:rsidRPr="002F67B9">
        <w:rPr>
          <w:rStyle w:val="Strong"/>
          <w:rFonts w:ascii="Arial" w:hAnsi="Arial" w:cs="Arial"/>
          <w:b w:val="0"/>
        </w:rPr>
        <w:t>Vclay</w:t>
      </w:r>
      <w:proofErr w:type="spellEnd"/>
    </w:p>
    <w:p w14:paraId="480BB0AC" w14:textId="35AE9F09" w:rsidR="00271ECF" w:rsidRPr="002F67B9" w:rsidRDefault="00271ECF" w:rsidP="002F67B9">
      <w:pPr>
        <w:pStyle w:val="NormalWeb"/>
        <w:spacing w:line="276" w:lineRule="auto"/>
      </w:pPr>
      <w:r w:rsidRPr="002F67B9">
        <w:rPr>
          <w:rStyle w:val="Strong"/>
          <w:rFonts w:ascii="Arial" w:hAnsi="Arial" w:cs="Arial"/>
          <w:b w:val="0"/>
        </w:rPr>
        <w:t xml:space="preserve">K2O is obtained, after borehole correcting the GR, from the equations and lookup table shown earlier, or from a fresh correlation based on specific data from the wells under study. Note that the chart and table given earlier are in percent K2O and this set of equations expects fractional units for K2O, neutron porosity, and all output volumes. Parameters in the sonic equation are in </w:t>
      </w:r>
      <w:r w:rsidR="00FC7310">
        <w:rPr>
          <w:rStyle w:val="Strong"/>
          <w:rFonts w:ascii="Symbol" w:hAnsi="Symbol" w:cs="Arial"/>
          <w:b w:val="0"/>
        </w:rPr>
        <w:t>m</w:t>
      </w:r>
      <w:r w:rsidRPr="002F67B9">
        <w:rPr>
          <w:rStyle w:val="Strong"/>
          <w:rFonts w:ascii="Arial" w:hAnsi="Arial" w:cs="Arial"/>
          <w:b w:val="0"/>
        </w:rPr>
        <w:t>sec/f</w:t>
      </w:r>
      <w:r w:rsidR="00E22A1F" w:rsidRPr="002F67B9">
        <w:rPr>
          <w:rStyle w:val="Strong"/>
          <w:rFonts w:ascii="Arial" w:hAnsi="Arial" w:cs="Arial"/>
          <w:b w:val="0"/>
        </w:rPr>
        <w:t>oo</w:t>
      </w:r>
      <w:r w:rsidRPr="002F67B9">
        <w:rPr>
          <w:rStyle w:val="Strong"/>
          <w:rFonts w:ascii="Arial" w:hAnsi="Arial" w:cs="Arial"/>
          <w:b w:val="0"/>
        </w:rPr>
        <w:t>t.</w:t>
      </w:r>
    </w:p>
    <w:p w14:paraId="038599C5" w14:textId="77777777" w:rsidR="00271ECF" w:rsidRPr="002F67B9" w:rsidRDefault="00271ECF" w:rsidP="002F67B9">
      <w:pPr>
        <w:pStyle w:val="NormalWeb"/>
        <w:spacing w:line="276" w:lineRule="auto"/>
      </w:pPr>
      <w:r w:rsidRPr="002F67B9">
        <w:rPr>
          <w:rStyle w:val="Strong"/>
          <w:rFonts w:ascii="Arial" w:hAnsi="Arial" w:cs="Arial"/>
          <w:b w:val="0"/>
        </w:rPr>
        <w:t>When solved by algebraic means, these equations become:</w:t>
      </w:r>
      <w:r w:rsidRPr="002F67B9">
        <w:rPr>
          <w:rFonts w:ascii="Arial" w:hAnsi="Arial" w:cs="Arial"/>
          <w:bCs/>
        </w:rPr>
        <w:br/>
      </w:r>
      <w:r w:rsidRPr="002F67B9">
        <w:rPr>
          <w:rStyle w:val="Strong"/>
          <w:rFonts w:ascii="Arial" w:hAnsi="Arial" w:cs="Arial"/>
          <w:b w:val="0"/>
        </w:rPr>
        <w:t xml:space="preserve">      1: </w:t>
      </w:r>
      <w:proofErr w:type="spellStart"/>
      <w:r w:rsidRPr="002F67B9">
        <w:rPr>
          <w:rStyle w:val="Strong"/>
          <w:rFonts w:ascii="Arial" w:hAnsi="Arial" w:cs="Arial"/>
          <w:b w:val="0"/>
        </w:rPr>
        <w:t>Vclay</w:t>
      </w:r>
      <w:proofErr w:type="spellEnd"/>
      <w:r w:rsidRPr="002F67B9">
        <w:rPr>
          <w:rStyle w:val="Strong"/>
          <w:rFonts w:ascii="Arial" w:hAnsi="Arial" w:cs="Arial"/>
          <w:b w:val="0"/>
        </w:rPr>
        <w:t xml:space="preserve"> = 0.0207 * DT</w:t>
      </w:r>
      <w:r w:rsidR="00E22A1F" w:rsidRPr="002F67B9">
        <w:rPr>
          <w:rStyle w:val="Strong"/>
          <w:rFonts w:ascii="Arial" w:hAnsi="Arial" w:cs="Arial"/>
          <w:b w:val="0"/>
        </w:rPr>
        <w:t>C</w:t>
      </w:r>
      <w:r w:rsidRPr="002F67B9">
        <w:rPr>
          <w:rStyle w:val="Strong"/>
          <w:rFonts w:ascii="Arial" w:hAnsi="Arial" w:cs="Arial"/>
          <w:b w:val="0"/>
        </w:rPr>
        <w:t xml:space="preserve"> - 0.23 * K20 - 0.29 * PHIN - 1.3891</w:t>
      </w:r>
      <w:r w:rsidRPr="002F67B9">
        <w:rPr>
          <w:rFonts w:ascii="Arial" w:hAnsi="Arial" w:cs="Arial"/>
          <w:bCs/>
        </w:rPr>
        <w:br/>
      </w:r>
      <w:r w:rsidRPr="002F67B9">
        <w:rPr>
          <w:rStyle w:val="Strong"/>
          <w:rFonts w:ascii="Arial" w:hAnsi="Arial" w:cs="Arial"/>
          <w:b w:val="0"/>
        </w:rPr>
        <w:t xml:space="preserve">      2: </w:t>
      </w:r>
      <w:proofErr w:type="spellStart"/>
      <w:r w:rsidRPr="002F67B9">
        <w:rPr>
          <w:rStyle w:val="Strong"/>
          <w:rFonts w:ascii="Arial" w:hAnsi="Arial" w:cs="Arial"/>
          <w:b w:val="0"/>
        </w:rPr>
        <w:t>Vcarn</w:t>
      </w:r>
      <w:proofErr w:type="spellEnd"/>
      <w:r w:rsidRPr="002F67B9">
        <w:rPr>
          <w:rStyle w:val="Strong"/>
          <w:rFonts w:ascii="Arial" w:hAnsi="Arial" w:cs="Arial"/>
          <w:b w:val="0"/>
        </w:rPr>
        <w:t xml:space="preserve"> = 1.54 * PHIN - 0.46 * Z</w:t>
      </w:r>
      <w:r w:rsidRPr="002F67B9">
        <w:rPr>
          <w:rFonts w:ascii="Arial" w:hAnsi="Arial" w:cs="Arial"/>
          <w:bCs/>
        </w:rPr>
        <w:br/>
      </w:r>
      <w:r w:rsidRPr="002F67B9">
        <w:rPr>
          <w:rStyle w:val="Strong"/>
          <w:rFonts w:ascii="Arial" w:hAnsi="Arial" w:cs="Arial"/>
          <w:b w:val="0"/>
        </w:rPr>
        <w:t xml:space="preserve">      3: </w:t>
      </w:r>
      <w:proofErr w:type="spellStart"/>
      <w:r w:rsidRPr="002F67B9">
        <w:rPr>
          <w:rStyle w:val="Strong"/>
          <w:rFonts w:ascii="Arial" w:hAnsi="Arial" w:cs="Arial"/>
          <w:b w:val="0"/>
        </w:rPr>
        <w:t>Vsylv</w:t>
      </w:r>
      <w:proofErr w:type="spellEnd"/>
      <w:r w:rsidRPr="002F67B9">
        <w:rPr>
          <w:rStyle w:val="Strong"/>
          <w:rFonts w:ascii="Arial" w:hAnsi="Arial" w:cs="Arial"/>
          <w:b w:val="0"/>
        </w:rPr>
        <w:t xml:space="preserve"> = 1.59 * K20 - 0.41 * PHIN + 0.04 * </w:t>
      </w:r>
      <w:proofErr w:type="spellStart"/>
      <w:r w:rsidR="00E22A1F" w:rsidRPr="002F67B9">
        <w:rPr>
          <w:rStyle w:val="Strong"/>
          <w:rFonts w:ascii="Arial" w:hAnsi="Arial" w:cs="Arial"/>
          <w:b w:val="0"/>
        </w:rPr>
        <w:t>Vclay</w:t>
      </w:r>
      <w:proofErr w:type="spellEnd"/>
      <w:r w:rsidRPr="002F67B9">
        <w:rPr>
          <w:rFonts w:ascii="Arial" w:hAnsi="Arial" w:cs="Arial"/>
          <w:bCs/>
        </w:rPr>
        <w:br/>
      </w:r>
      <w:r w:rsidRPr="002F67B9">
        <w:rPr>
          <w:rStyle w:val="Strong"/>
          <w:rFonts w:ascii="Arial" w:hAnsi="Arial" w:cs="Arial"/>
          <w:b w:val="0"/>
        </w:rPr>
        <w:t xml:space="preserve">      4: </w:t>
      </w:r>
      <w:proofErr w:type="spellStart"/>
      <w:r w:rsidRPr="002F67B9">
        <w:rPr>
          <w:rStyle w:val="Strong"/>
          <w:rFonts w:ascii="Arial" w:hAnsi="Arial" w:cs="Arial"/>
          <w:b w:val="0"/>
        </w:rPr>
        <w:t>Vsalt</w:t>
      </w:r>
      <w:proofErr w:type="spellEnd"/>
      <w:r w:rsidRPr="002F67B9">
        <w:rPr>
          <w:rStyle w:val="Strong"/>
          <w:rFonts w:ascii="Arial" w:hAnsi="Arial" w:cs="Arial"/>
          <w:b w:val="0"/>
        </w:rPr>
        <w:t xml:space="preserve"> =  1.00 - </w:t>
      </w:r>
      <w:proofErr w:type="spellStart"/>
      <w:r w:rsidRPr="002F67B9">
        <w:rPr>
          <w:rStyle w:val="Strong"/>
          <w:rFonts w:ascii="Arial" w:hAnsi="Arial" w:cs="Arial"/>
          <w:b w:val="0"/>
        </w:rPr>
        <w:t>Vclay</w:t>
      </w:r>
      <w:proofErr w:type="spellEnd"/>
      <w:r w:rsidRPr="002F67B9">
        <w:rPr>
          <w:rStyle w:val="Strong"/>
          <w:rFonts w:ascii="Arial" w:hAnsi="Arial" w:cs="Arial"/>
          <w:b w:val="0"/>
        </w:rPr>
        <w:t xml:space="preserve"> - </w:t>
      </w:r>
      <w:proofErr w:type="spellStart"/>
      <w:r w:rsidRPr="002F67B9">
        <w:rPr>
          <w:rStyle w:val="Strong"/>
          <w:rFonts w:ascii="Arial" w:hAnsi="Arial" w:cs="Arial"/>
          <w:b w:val="0"/>
        </w:rPr>
        <w:t>Vsylv</w:t>
      </w:r>
      <w:proofErr w:type="spellEnd"/>
      <w:r w:rsidRPr="002F67B9">
        <w:rPr>
          <w:rStyle w:val="Strong"/>
          <w:rFonts w:ascii="Arial" w:hAnsi="Arial" w:cs="Arial"/>
          <w:b w:val="0"/>
        </w:rPr>
        <w:t xml:space="preserve"> - </w:t>
      </w:r>
      <w:proofErr w:type="spellStart"/>
      <w:r w:rsidRPr="002F67B9">
        <w:rPr>
          <w:rStyle w:val="Strong"/>
          <w:rFonts w:ascii="Arial" w:hAnsi="Arial" w:cs="Arial"/>
          <w:b w:val="0"/>
        </w:rPr>
        <w:t>Vcarn</w:t>
      </w:r>
      <w:proofErr w:type="spellEnd"/>
    </w:p>
    <w:p w14:paraId="3768C188" w14:textId="453FC92C" w:rsidR="00271ECF" w:rsidRPr="002F67B9" w:rsidRDefault="00271ECF" w:rsidP="002F67B9">
      <w:pPr>
        <w:pStyle w:val="NormalWeb"/>
        <w:spacing w:line="276" w:lineRule="auto"/>
      </w:pPr>
      <w:r w:rsidRPr="002F67B9">
        <w:rPr>
          <w:rStyle w:val="Strong"/>
          <w:rFonts w:ascii="Arial" w:hAnsi="Arial" w:cs="Arial"/>
          <w:b w:val="0"/>
        </w:rPr>
        <w:t>These equations were derived with DT</w:t>
      </w:r>
      <w:r w:rsidR="00E22A1F" w:rsidRPr="002F67B9">
        <w:rPr>
          <w:rStyle w:val="Strong"/>
          <w:rFonts w:ascii="Arial" w:hAnsi="Arial" w:cs="Arial"/>
          <w:b w:val="0"/>
        </w:rPr>
        <w:t>C</w:t>
      </w:r>
      <w:r w:rsidRPr="002F67B9">
        <w:rPr>
          <w:rStyle w:val="Strong"/>
          <w:rFonts w:ascii="Arial" w:hAnsi="Arial" w:cs="Arial"/>
          <w:b w:val="0"/>
        </w:rPr>
        <w:t xml:space="preserve"> in </w:t>
      </w:r>
      <w:r w:rsidR="00FC7310">
        <w:rPr>
          <w:rStyle w:val="Strong"/>
          <w:rFonts w:ascii="Symbol" w:hAnsi="Symbol" w:cs="Arial"/>
          <w:b w:val="0"/>
        </w:rPr>
        <w:t>m</w:t>
      </w:r>
      <w:r w:rsidRPr="002F67B9">
        <w:rPr>
          <w:rStyle w:val="Strong"/>
          <w:rFonts w:ascii="Arial" w:hAnsi="Arial" w:cs="Arial"/>
          <w:b w:val="0"/>
        </w:rPr>
        <w:t>sec/ft</w:t>
      </w:r>
      <w:r w:rsidR="00E22A1F" w:rsidRPr="002F67B9">
        <w:rPr>
          <w:rStyle w:val="Strong"/>
          <w:rFonts w:ascii="Arial" w:hAnsi="Arial" w:cs="Arial"/>
          <w:b w:val="0"/>
        </w:rPr>
        <w:t>, PHIN and K2O in decimal fraction.</w:t>
      </w:r>
      <w:r w:rsidRPr="002F67B9">
        <w:rPr>
          <w:rStyle w:val="Strong"/>
          <w:rFonts w:ascii="Arial" w:hAnsi="Arial" w:cs="Arial"/>
          <w:b w:val="0"/>
        </w:rPr>
        <w:t xml:space="preserve"> All constants will be different if DT</w:t>
      </w:r>
      <w:r w:rsidR="00E22A1F" w:rsidRPr="002F67B9">
        <w:rPr>
          <w:rStyle w:val="Strong"/>
          <w:rFonts w:ascii="Arial" w:hAnsi="Arial" w:cs="Arial"/>
          <w:b w:val="0"/>
        </w:rPr>
        <w:t>C</w:t>
      </w:r>
      <w:r w:rsidRPr="002F67B9">
        <w:rPr>
          <w:rStyle w:val="Strong"/>
          <w:rFonts w:ascii="Arial" w:hAnsi="Arial" w:cs="Arial"/>
          <w:b w:val="0"/>
        </w:rPr>
        <w:t xml:space="preserve"> is in </w:t>
      </w:r>
      <w:r w:rsidR="00FC7310">
        <w:rPr>
          <w:rStyle w:val="Strong"/>
          <w:rFonts w:ascii="Symbol" w:hAnsi="Symbol" w:cs="Arial"/>
          <w:b w:val="0"/>
        </w:rPr>
        <w:t>m</w:t>
      </w:r>
      <w:r w:rsidRPr="002F67B9">
        <w:rPr>
          <w:rStyle w:val="Strong"/>
          <w:rFonts w:ascii="Arial" w:hAnsi="Arial" w:cs="Arial"/>
          <w:b w:val="0"/>
        </w:rPr>
        <w:t>s/m.</w:t>
      </w:r>
    </w:p>
    <w:p w14:paraId="48D54344" w14:textId="1462E1A1" w:rsidR="00271ECF" w:rsidRPr="002F67B9" w:rsidRDefault="00271ECF" w:rsidP="002F67B9">
      <w:pPr>
        <w:pStyle w:val="NormalWeb"/>
        <w:spacing w:line="276" w:lineRule="auto"/>
      </w:pPr>
      <w:r w:rsidRPr="002F67B9">
        <w:rPr>
          <w:rStyle w:val="Strong"/>
          <w:rFonts w:ascii="Arial" w:hAnsi="Arial" w:cs="Arial"/>
          <w:b w:val="0"/>
        </w:rPr>
        <w:t>To convert from mineral fraction to K2O equivalent (K2O equivalent is the way potash ores are rated), the final analysis follows:</w:t>
      </w:r>
      <w:r w:rsidRPr="002F67B9">
        <w:rPr>
          <w:rFonts w:ascii="Arial" w:hAnsi="Arial" w:cs="Arial"/>
          <w:bCs/>
        </w:rPr>
        <w:br/>
      </w:r>
      <w:r w:rsidRPr="002F67B9">
        <w:rPr>
          <w:rStyle w:val="Strong"/>
          <w:rFonts w:ascii="Arial" w:hAnsi="Arial" w:cs="Arial"/>
          <w:b w:val="0"/>
        </w:rPr>
        <w:t xml:space="preserve">      5: K2Osylv = 0.63 * </w:t>
      </w:r>
      <w:proofErr w:type="spellStart"/>
      <w:r w:rsidRPr="002F67B9">
        <w:rPr>
          <w:rStyle w:val="Strong"/>
          <w:rFonts w:ascii="Arial" w:hAnsi="Arial" w:cs="Arial"/>
          <w:b w:val="0"/>
        </w:rPr>
        <w:t>Vsylv</w:t>
      </w:r>
      <w:proofErr w:type="spellEnd"/>
      <w:r w:rsidRPr="002F67B9">
        <w:rPr>
          <w:rFonts w:ascii="Arial" w:hAnsi="Arial" w:cs="Arial"/>
          <w:bCs/>
        </w:rPr>
        <w:br/>
      </w:r>
      <w:r w:rsidRPr="002F67B9">
        <w:rPr>
          <w:rStyle w:val="Strong"/>
          <w:rFonts w:ascii="Arial" w:hAnsi="Arial" w:cs="Arial"/>
          <w:b w:val="0"/>
        </w:rPr>
        <w:t xml:space="preserve">      6: K2Ocarn = 0.17 * </w:t>
      </w:r>
      <w:proofErr w:type="spellStart"/>
      <w:r w:rsidRPr="002F67B9">
        <w:rPr>
          <w:rStyle w:val="Strong"/>
          <w:rFonts w:ascii="Arial" w:hAnsi="Arial" w:cs="Arial"/>
          <w:b w:val="0"/>
        </w:rPr>
        <w:t>Vcarn</w:t>
      </w:r>
      <w:proofErr w:type="spellEnd"/>
      <w:r w:rsidRPr="002F67B9">
        <w:rPr>
          <w:rFonts w:ascii="Arial" w:hAnsi="Arial" w:cs="Arial"/>
          <w:bCs/>
        </w:rPr>
        <w:br/>
      </w:r>
      <w:r w:rsidRPr="002F67B9">
        <w:rPr>
          <w:rStyle w:val="Strong"/>
          <w:rFonts w:ascii="Arial" w:hAnsi="Arial" w:cs="Arial"/>
          <w:b w:val="0"/>
        </w:rPr>
        <w:t>      7: K2Ototal = K2Osylv + K2Ocarn</w:t>
      </w:r>
    </w:p>
    <w:p w14:paraId="38825EC5" w14:textId="0F303F10" w:rsidR="00271ECF" w:rsidRDefault="00DD34C0" w:rsidP="002F67B9">
      <w:pPr>
        <w:pStyle w:val="NormalWeb"/>
        <w:spacing w:before="0" w:beforeAutospacing="0" w:after="0" w:afterAutospacing="0" w:line="276" w:lineRule="auto"/>
        <w:rPr>
          <w:rFonts w:ascii="Arial" w:hAnsi="Arial" w:cs="Arial"/>
          <w:bCs/>
        </w:rPr>
      </w:pPr>
      <w:r w:rsidRPr="002F67B9">
        <w:rPr>
          <w:rFonts w:ascii="Arial" w:hAnsi="Arial" w:cs="Arial"/>
          <w:bCs/>
          <w:noProof/>
          <w:lang w:val="en-CA" w:eastAsia="en-CA"/>
        </w:rPr>
        <w:drawing>
          <wp:anchor distT="0" distB="0" distL="0" distR="0" simplePos="0" relativeHeight="251655680" behindDoc="0" locked="0" layoutInCell="1" allowOverlap="0" wp14:anchorId="2DBBD419" wp14:editId="032C3375">
            <wp:simplePos x="0" y="0"/>
            <wp:positionH relativeFrom="column">
              <wp:posOffset>3581152</wp:posOffset>
            </wp:positionH>
            <wp:positionV relativeFrom="line">
              <wp:posOffset>49046</wp:posOffset>
            </wp:positionV>
            <wp:extent cx="2857500" cy="2857500"/>
            <wp:effectExtent l="38100" t="38100" r="38100" b="38100"/>
            <wp:wrapSquare wrapText="bothSides"/>
            <wp:docPr id="252" name="Picture 252" descr="p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px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271ECF" w:rsidRPr="002F67B9">
        <w:rPr>
          <w:rFonts w:ascii="Arial" w:hAnsi="Arial" w:cs="Arial"/>
          <w:bCs/>
        </w:rPr>
        <w:t>With a modern suite of calibrated logs, we can use conventional multi-mineral models to calculate a potash assay. With GR, neutron, sonic, density, and PE, we can solve for halite, sylvite, carnallite, clay (insolubles or shale stringers), and water (occluded in many salts as isolated pores). The potassium curve from a spectra</w:t>
      </w:r>
      <w:r w:rsidR="002C07BF" w:rsidRPr="002F67B9">
        <w:rPr>
          <w:rFonts w:ascii="Arial" w:hAnsi="Arial" w:cs="Arial"/>
          <w:bCs/>
        </w:rPr>
        <w:t>l</w:t>
      </w:r>
      <w:r w:rsidR="00271ECF" w:rsidRPr="002F67B9">
        <w:rPr>
          <w:rFonts w:ascii="Arial" w:hAnsi="Arial" w:cs="Arial"/>
          <w:bCs/>
        </w:rPr>
        <w:t xml:space="preserve"> gamma ray log might also prove useful, if the detector system is linear and does not saturate.</w:t>
      </w:r>
    </w:p>
    <w:p w14:paraId="48EFFC23" w14:textId="39A8B4D0" w:rsidR="00BC0C16" w:rsidRDefault="00BC0C16" w:rsidP="002F67B9">
      <w:pPr>
        <w:pStyle w:val="NormalWeb"/>
        <w:spacing w:before="0" w:beforeAutospacing="0" w:after="0" w:afterAutospacing="0" w:line="276" w:lineRule="auto"/>
        <w:rPr>
          <w:rFonts w:ascii="Arial" w:hAnsi="Arial" w:cs="Arial"/>
          <w:bCs/>
        </w:rPr>
      </w:pPr>
    </w:p>
    <w:p w14:paraId="225C58A4" w14:textId="77777777" w:rsidR="00BC0C16" w:rsidRPr="002F67B9" w:rsidRDefault="00BC0C16" w:rsidP="00BC0C16">
      <w:pPr>
        <w:pStyle w:val="NormalWeb"/>
        <w:spacing w:before="0" w:beforeAutospacing="0" w:after="0" w:afterAutospacing="0" w:line="276" w:lineRule="auto"/>
        <w:rPr>
          <w:rFonts w:ascii="Arial" w:hAnsi="Arial" w:cs="Arial"/>
        </w:rPr>
      </w:pPr>
      <w:r w:rsidRPr="002F67B9">
        <w:rPr>
          <w:rFonts w:ascii="Arial" w:hAnsi="Arial" w:cs="Arial"/>
          <w:bCs/>
          <w:i/>
          <w:iCs/>
        </w:rPr>
        <w:t>Figure 6: K2O vs GR correlation for a modern GR log</w:t>
      </w:r>
      <w:r w:rsidRPr="002F67B9">
        <w:rPr>
          <w:rFonts w:ascii="Arial" w:hAnsi="Arial" w:cs="Arial"/>
          <w:bCs/>
        </w:rPr>
        <w:t xml:space="preserve"> </w:t>
      </w:r>
      <w:r w:rsidRPr="002F67B9">
        <w:rPr>
          <w:rFonts w:ascii="Arial" w:hAnsi="Arial" w:cs="Arial"/>
          <w:bCs/>
        </w:rPr>
        <w:sym w:font="Wingdings" w:char="F0E8"/>
      </w:r>
    </w:p>
    <w:p w14:paraId="7C7A87F3" w14:textId="77777777" w:rsidR="00271ECF" w:rsidRPr="002F67B9" w:rsidRDefault="00271ECF" w:rsidP="002F67B9">
      <w:pPr>
        <w:pStyle w:val="NormalWeb"/>
        <w:spacing w:before="0" w:beforeAutospacing="0" w:after="0" w:afterAutospacing="0" w:line="276" w:lineRule="auto"/>
        <w:rPr>
          <w:rFonts w:ascii="Arial" w:hAnsi="Arial" w:cs="Arial"/>
        </w:rPr>
      </w:pPr>
      <w:r w:rsidRPr="002F67B9">
        <w:rPr>
          <w:rFonts w:ascii="Arial" w:hAnsi="Arial" w:cs="Arial"/>
        </w:rPr>
        <w:t> </w:t>
      </w:r>
    </w:p>
    <w:p w14:paraId="03BE740F" w14:textId="77777777" w:rsidR="00C85C4C" w:rsidRPr="002F67B9" w:rsidRDefault="00C85C4C" w:rsidP="002F67B9">
      <w:pPr>
        <w:pStyle w:val="NormalWeb"/>
        <w:spacing w:before="0" w:beforeAutospacing="0" w:after="0" w:afterAutospacing="0" w:line="276" w:lineRule="auto"/>
        <w:rPr>
          <w:rFonts w:ascii="Arial" w:hAnsi="Arial" w:cs="Arial"/>
          <w:bCs/>
        </w:rPr>
      </w:pPr>
      <w:r w:rsidRPr="002F67B9">
        <w:rPr>
          <w:rFonts w:ascii="Arial" w:hAnsi="Arial" w:cs="Arial"/>
          <w:bCs/>
        </w:rPr>
        <w:t>The mathematical</w:t>
      </w:r>
      <w:r w:rsidR="00E2267A" w:rsidRPr="002F67B9">
        <w:rPr>
          <w:rFonts w:ascii="Arial" w:hAnsi="Arial" w:cs="Arial"/>
          <w:bCs/>
        </w:rPr>
        <w:t xml:space="preserve"> </w:t>
      </w:r>
      <w:r w:rsidRPr="002F67B9">
        <w:rPr>
          <w:rFonts w:ascii="Arial" w:hAnsi="Arial" w:cs="Arial"/>
          <w:bCs/>
        </w:rPr>
        <w:t xml:space="preserve"> methods are similar to those shown above, except that more log curves can be added to the simultaneous equation set, and constraints for occluded water can be replaced by specific numerical solutions. </w:t>
      </w:r>
    </w:p>
    <w:p w14:paraId="3C7723D0" w14:textId="77777777" w:rsidR="00C85C4C" w:rsidRPr="002F67B9" w:rsidRDefault="00C85C4C" w:rsidP="002F67B9">
      <w:pPr>
        <w:pStyle w:val="NormalWeb"/>
        <w:spacing w:before="0" w:beforeAutospacing="0" w:after="0" w:afterAutospacing="0" w:line="276" w:lineRule="auto"/>
        <w:rPr>
          <w:rFonts w:ascii="Arial" w:hAnsi="Arial" w:cs="Arial"/>
          <w:bCs/>
        </w:rPr>
      </w:pPr>
    </w:p>
    <w:p w14:paraId="0E64AB27" w14:textId="77777777" w:rsidR="00F02C0F" w:rsidRPr="002F67B9" w:rsidRDefault="00F02C0F" w:rsidP="002F67B9">
      <w:pPr>
        <w:pStyle w:val="NormalWeb"/>
        <w:spacing w:before="0" w:beforeAutospacing="0" w:after="0" w:afterAutospacing="0" w:line="276" w:lineRule="auto"/>
        <w:rPr>
          <w:rFonts w:ascii="Arial" w:hAnsi="Arial" w:cs="Arial"/>
          <w:bCs/>
        </w:rPr>
      </w:pPr>
    </w:p>
    <w:p w14:paraId="4706B91B" w14:textId="77777777" w:rsidR="00C85C4C" w:rsidRPr="002F67B9" w:rsidRDefault="00C85C4C" w:rsidP="002F67B9">
      <w:pPr>
        <w:pStyle w:val="NormalWeb"/>
        <w:spacing w:before="0" w:beforeAutospacing="0" w:after="0" w:afterAutospacing="0" w:line="276" w:lineRule="auto"/>
        <w:rPr>
          <w:rFonts w:ascii="Arial" w:hAnsi="Arial" w:cs="Arial"/>
        </w:rPr>
      </w:pPr>
      <w:r w:rsidRPr="002F67B9">
        <w:rPr>
          <w:rFonts w:ascii="Arial" w:hAnsi="Arial" w:cs="Arial"/>
          <w:bCs/>
        </w:rPr>
        <w:lastRenderedPageBreak/>
        <w:t>If other potash minerals are present, such as polyhalite, these can be added to the equation set if enough log curves are available to maintain an exactly- or over-determined solution. Matrix rock properties for the minerals were shown earlier in this article. Water is treated as a "mineral" so that it can be segregated from the water of hydration in carnallite.</w:t>
      </w:r>
    </w:p>
    <w:p w14:paraId="67F814A7" w14:textId="77777777" w:rsidR="00C85C4C" w:rsidRPr="002F67B9" w:rsidRDefault="00C85C4C" w:rsidP="002F67B9">
      <w:pPr>
        <w:pStyle w:val="NormalWeb"/>
        <w:spacing w:before="0" w:beforeAutospacing="0" w:after="0" w:afterAutospacing="0" w:line="276" w:lineRule="auto"/>
        <w:rPr>
          <w:rFonts w:ascii="Arial" w:hAnsi="Arial" w:cs="Arial"/>
        </w:rPr>
      </w:pPr>
      <w:r w:rsidRPr="002F67B9">
        <w:rPr>
          <w:rFonts w:ascii="Arial" w:hAnsi="Arial" w:cs="Arial"/>
        </w:rPr>
        <w:t> </w:t>
      </w:r>
    </w:p>
    <w:p w14:paraId="333D2E53" w14:textId="77777777" w:rsidR="00271ECF" w:rsidRPr="002F67B9" w:rsidRDefault="00271ECF" w:rsidP="002F67B9">
      <w:pPr>
        <w:pStyle w:val="NormalWeb"/>
        <w:spacing w:before="0" w:beforeAutospacing="0" w:after="0" w:afterAutospacing="0" w:line="276" w:lineRule="auto"/>
        <w:rPr>
          <w:rFonts w:ascii="Arial" w:hAnsi="Arial" w:cs="Arial"/>
        </w:rPr>
      </w:pPr>
      <w:r w:rsidRPr="002F67B9">
        <w:rPr>
          <w:rFonts w:ascii="Arial" w:hAnsi="Arial" w:cs="Arial"/>
          <w:bCs/>
        </w:rPr>
        <w:t>The first step is to correct the gamma ray for borehole and mud weight effects, using the appropriate service company correction charts. The other logs seldom need much correction as the potash is not especial deep or hot. However, if a water based mud was used, it will have a high salinity, so a salinity correction for the neutron log may be required.</w:t>
      </w:r>
    </w:p>
    <w:p w14:paraId="4D26EFF5" w14:textId="77777777" w:rsidR="00271ECF" w:rsidRPr="002F67B9" w:rsidRDefault="00271ECF" w:rsidP="002F67B9">
      <w:pPr>
        <w:pStyle w:val="NormalWeb"/>
        <w:spacing w:before="0" w:beforeAutospacing="0" w:after="0" w:afterAutospacing="0" w:line="276" w:lineRule="auto"/>
        <w:rPr>
          <w:rFonts w:ascii="Arial" w:hAnsi="Arial" w:cs="Arial"/>
        </w:rPr>
      </w:pPr>
      <w:r w:rsidRPr="002F67B9">
        <w:rPr>
          <w:rFonts w:ascii="Arial" w:hAnsi="Arial" w:cs="Arial"/>
        </w:rPr>
        <w:t> </w:t>
      </w:r>
    </w:p>
    <w:p w14:paraId="69D0609E" w14:textId="77777777" w:rsidR="00271ECF" w:rsidRPr="002F67B9" w:rsidRDefault="00271ECF" w:rsidP="002F67B9">
      <w:pPr>
        <w:pStyle w:val="NormalWeb"/>
        <w:spacing w:before="0" w:beforeAutospacing="0" w:after="0" w:afterAutospacing="0" w:line="276" w:lineRule="auto"/>
        <w:rPr>
          <w:rFonts w:ascii="Arial" w:hAnsi="Arial" w:cs="Arial"/>
        </w:rPr>
      </w:pPr>
      <w:r w:rsidRPr="002F67B9">
        <w:rPr>
          <w:rFonts w:ascii="Arial" w:hAnsi="Arial" w:cs="Arial"/>
          <w:bCs/>
        </w:rPr>
        <w:t xml:space="preserve">The second step is to confirm the GR to K2O correlation using any available potash core assay data. Since modern GR logs are more linear than older tools, the relationship should be a relatively straight line and can be extended beyond the available core data, as shown </w:t>
      </w:r>
      <w:r w:rsidR="00041013" w:rsidRPr="002F67B9">
        <w:rPr>
          <w:rFonts w:ascii="Arial" w:hAnsi="Arial" w:cs="Arial"/>
          <w:bCs/>
        </w:rPr>
        <w:t>in Figure 8</w:t>
      </w:r>
      <w:r w:rsidRPr="002F67B9">
        <w:rPr>
          <w:rFonts w:ascii="Arial" w:hAnsi="Arial" w:cs="Arial"/>
          <w:bCs/>
        </w:rPr>
        <w:t>.</w:t>
      </w:r>
    </w:p>
    <w:p w14:paraId="7A178CB3" w14:textId="77777777" w:rsidR="00C85C4C" w:rsidRPr="002F67B9" w:rsidRDefault="00C85C4C" w:rsidP="002F67B9">
      <w:pPr>
        <w:pStyle w:val="NormalWeb"/>
        <w:spacing w:line="276" w:lineRule="auto"/>
      </w:pPr>
      <w:r w:rsidRPr="008C33B0">
        <w:rPr>
          <w:rStyle w:val="Strong"/>
          <w:rFonts w:ascii="Arial" w:hAnsi="Arial" w:cs="Arial"/>
          <w:caps/>
          <w:color w:val="000000"/>
        </w:rPr>
        <w:t>POTASH ANALYSIS EXAMPLES</w:t>
      </w:r>
      <w:r w:rsidR="00E93793" w:rsidRPr="008C33B0">
        <w:rPr>
          <w:rFonts w:ascii="Arial" w:hAnsi="Arial" w:cs="Arial"/>
          <w:bCs/>
          <w:caps/>
          <w:color w:val="000000"/>
        </w:rPr>
        <w:t xml:space="preserve"> </w:t>
      </w:r>
      <w:r w:rsidRPr="008C33B0">
        <w:rPr>
          <w:rFonts w:ascii="Arial" w:hAnsi="Arial" w:cs="Arial"/>
          <w:bCs/>
          <w:caps/>
          <w:color w:val="000000"/>
        </w:rPr>
        <w:br/>
      </w:r>
      <w:r w:rsidRPr="002F67B9">
        <w:rPr>
          <w:rStyle w:val="Strong"/>
          <w:rFonts w:ascii="Arial" w:hAnsi="Arial" w:cs="Arial"/>
          <w:b w:val="0"/>
        </w:rPr>
        <w:t>A sample of computed results from this log analysis model compared to core data is shown below. The GR was borehole corrected but no bed thickness corrections were applied.</w:t>
      </w:r>
    </w:p>
    <w:p w14:paraId="747DA02B" w14:textId="77777777" w:rsidR="00C85C4C" w:rsidRPr="002F67B9" w:rsidRDefault="007F711A" w:rsidP="002F67B9">
      <w:pPr>
        <w:pStyle w:val="NormalWeb"/>
        <w:spacing w:line="276" w:lineRule="auto"/>
        <w:jc w:val="center"/>
      </w:pPr>
      <w:r w:rsidRPr="002F67B9">
        <w:rPr>
          <w:rFonts w:ascii="Arial" w:hAnsi="Arial" w:cs="Arial"/>
          <w:bCs/>
          <w:i/>
          <w:iCs/>
          <w:noProof/>
          <w:lang w:val="en-CA" w:eastAsia="en-CA"/>
        </w:rPr>
        <w:drawing>
          <wp:inline distT="0" distB="0" distL="0" distR="0" wp14:anchorId="277FB300" wp14:editId="6902E110">
            <wp:extent cx="6624955" cy="4742180"/>
            <wp:effectExtent l="38100" t="38100" r="42545" b="39370"/>
            <wp:docPr id="2" name="Picture 2" descr="potash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tashan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24955" cy="4742180"/>
                    </a:xfrm>
                    <a:prstGeom prst="rect">
                      <a:avLst/>
                    </a:prstGeom>
                    <a:noFill/>
                    <a:ln w="28575" cmpd="sng">
                      <a:solidFill>
                        <a:srgbClr val="000000"/>
                      </a:solidFill>
                      <a:miter lim="800000"/>
                      <a:headEnd/>
                      <a:tailEnd/>
                    </a:ln>
                    <a:effectLst/>
                  </pic:spPr>
                </pic:pic>
              </a:graphicData>
            </a:graphic>
          </wp:inline>
        </w:drawing>
      </w:r>
      <w:r w:rsidR="00C85C4C" w:rsidRPr="002F67B9">
        <w:rPr>
          <w:rFonts w:ascii="Arial" w:hAnsi="Arial" w:cs="Arial"/>
          <w:bCs/>
          <w:i/>
          <w:iCs/>
        </w:rPr>
        <w:t xml:space="preserve">Figure </w:t>
      </w:r>
      <w:r w:rsidR="00E93793" w:rsidRPr="002F67B9">
        <w:rPr>
          <w:rFonts w:ascii="Arial" w:hAnsi="Arial" w:cs="Arial"/>
          <w:bCs/>
          <w:i/>
          <w:iCs/>
        </w:rPr>
        <w:t>7</w:t>
      </w:r>
      <w:r w:rsidR="00C85C4C" w:rsidRPr="002F67B9">
        <w:rPr>
          <w:rFonts w:ascii="Arial" w:hAnsi="Arial" w:cs="Arial"/>
          <w:bCs/>
          <w:i/>
          <w:iCs/>
        </w:rPr>
        <w:t>: Example log analysis showing excellent match to core data (</w:t>
      </w:r>
      <w:r w:rsidR="006652EF" w:rsidRPr="002F67B9">
        <w:rPr>
          <w:rFonts w:ascii="Arial" w:hAnsi="Arial" w:cs="Arial"/>
          <w:bCs/>
          <w:i/>
          <w:iCs/>
        </w:rPr>
        <w:t>Crain and Anderson,</w:t>
      </w:r>
      <w:r w:rsidR="00C85C4C" w:rsidRPr="002F67B9">
        <w:rPr>
          <w:rFonts w:ascii="Arial" w:hAnsi="Arial" w:cs="Arial"/>
          <w:bCs/>
          <w:i/>
          <w:iCs/>
        </w:rPr>
        <w:t xml:space="preserve"> </w:t>
      </w:r>
      <w:r w:rsidR="00C85C4C" w:rsidRPr="002F67B9">
        <w:rPr>
          <w:rFonts w:ascii="Arial" w:hAnsi="Arial" w:cs="Arial"/>
          <w:bCs/>
          <w:i/>
          <w:iCs/>
        </w:rPr>
        <w:lastRenderedPageBreak/>
        <w:t>196</w:t>
      </w:r>
      <w:r w:rsidR="00302853" w:rsidRPr="002F67B9">
        <w:rPr>
          <w:rFonts w:ascii="Arial" w:hAnsi="Arial" w:cs="Arial"/>
          <w:bCs/>
          <w:i/>
          <w:iCs/>
        </w:rPr>
        <w:t>6</w:t>
      </w:r>
      <w:r w:rsidR="00C85C4C" w:rsidRPr="002F67B9">
        <w:rPr>
          <w:rFonts w:ascii="Arial" w:hAnsi="Arial" w:cs="Arial"/>
          <w:bCs/>
          <w:i/>
          <w:iCs/>
        </w:rPr>
        <w:t>). Raw data is shown but note the scales are opposite polarity to normal oilfield presentations.</w:t>
      </w:r>
    </w:p>
    <w:p w14:paraId="12767641" w14:textId="77777777" w:rsidR="00C85C4C" w:rsidRPr="002F67B9" w:rsidRDefault="007F711A" w:rsidP="002F67B9">
      <w:pPr>
        <w:pStyle w:val="NormalWeb"/>
        <w:spacing w:line="276" w:lineRule="auto"/>
        <w:jc w:val="center"/>
      </w:pPr>
      <w:r w:rsidRPr="002F67B9">
        <w:rPr>
          <w:rFonts w:ascii="Arial" w:hAnsi="Arial" w:cs="Arial"/>
          <w:bCs/>
          <w:i/>
          <w:iCs/>
          <w:noProof/>
          <w:lang w:val="en-CA" w:eastAsia="en-CA"/>
        </w:rPr>
        <w:drawing>
          <wp:inline distT="0" distB="0" distL="0" distR="0" wp14:anchorId="2E810964" wp14:editId="27520E5B">
            <wp:extent cx="6616065" cy="5692775"/>
            <wp:effectExtent l="38100" t="38100" r="32385" b="41275"/>
            <wp:docPr id="3" name="Picture 3" descr="po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t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16065" cy="5692775"/>
                    </a:xfrm>
                    <a:prstGeom prst="rect">
                      <a:avLst/>
                    </a:prstGeom>
                    <a:noFill/>
                    <a:ln w="28575" cmpd="sng">
                      <a:solidFill>
                        <a:srgbClr val="000000"/>
                      </a:solidFill>
                      <a:miter lim="800000"/>
                      <a:headEnd/>
                      <a:tailEnd/>
                    </a:ln>
                    <a:effectLst/>
                  </pic:spPr>
                </pic:pic>
              </a:graphicData>
            </a:graphic>
          </wp:inline>
        </w:drawing>
      </w:r>
      <w:r w:rsidR="00C85C4C" w:rsidRPr="002F67B9">
        <w:rPr>
          <w:rFonts w:ascii="Arial" w:hAnsi="Arial" w:cs="Arial"/>
          <w:bCs/>
          <w:i/>
          <w:iCs/>
        </w:rPr>
        <w:t xml:space="preserve">Figure </w:t>
      </w:r>
      <w:r w:rsidR="00E93793" w:rsidRPr="002F67B9">
        <w:rPr>
          <w:rFonts w:ascii="Arial" w:hAnsi="Arial" w:cs="Arial"/>
          <w:bCs/>
          <w:i/>
          <w:iCs/>
        </w:rPr>
        <w:t>8</w:t>
      </w:r>
      <w:r w:rsidR="00C85C4C" w:rsidRPr="002F67B9">
        <w:rPr>
          <w:rFonts w:ascii="Arial" w:hAnsi="Arial" w:cs="Arial"/>
          <w:bCs/>
          <w:i/>
          <w:iCs/>
        </w:rPr>
        <w:t>: Potash evaluation of 1960's logs with a modern log analysis program using Crain and Anderson’s  original algorithms, calibrated to core data (see data in K2OS and K2OC tracks).</w:t>
      </w:r>
      <w:r w:rsidR="00860DA0" w:rsidRPr="002F67B9">
        <w:rPr>
          <w:rFonts w:ascii="Arial" w:hAnsi="Arial" w:cs="Arial"/>
          <w:bCs/>
          <w:i/>
          <w:iCs/>
        </w:rPr>
        <w:br/>
      </w:r>
      <w:r w:rsidR="00C85C4C" w:rsidRPr="002F67B9">
        <w:rPr>
          <w:rFonts w:ascii="Arial" w:hAnsi="Arial" w:cs="Arial"/>
          <w:bCs/>
          <w:i/>
          <w:iCs/>
        </w:rPr>
        <w:t xml:space="preserve"> </w:t>
      </w:r>
      <w:r w:rsidR="00860DA0" w:rsidRPr="002F67B9">
        <w:rPr>
          <w:rFonts w:ascii="Arial" w:hAnsi="Arial" w:cs="Arial"/>
          <w:bCs/>
          <w:i/>
          <w:iCs/>
        </w:rPr>
        <w:t>(Example log analysis courtesy Encanto Potash, analysis performed by Chapman Petroleum Consultants)</w:t>
      </w:r>
    </w:p>
    <w:sectPr w:rsidR="00C85C4C" w:rsidRPr="002F67B9" w:rsidSect="0049040F">
      <w:footerReference w:type="default" r:id="rId16"/>
      <w:pgSz w:w="12240" w:h="15840" w:code="1"/>
      <w:pgMar w:top="720" w:right="1008"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8EE5E" w14:textId="77777777" w:rsidR="00F73595" w:rsidRDefault="00F73595">
      <w:r>
        <w:separator/>
      </w:r>
    </w:p>
  </w:endnote>
  <w:endnote w:type="continuationSeparator" w:id="0">
    <w:p w14:paraId="1B8DCAD9" w14:textId="77777777" w:rsidR="00F73595" w:rsidRDefault="00F7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AHIH H+ Univers">
    <w:altName w:val="Univer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8B60" w14:textId="77777777" w:rsidR="00271ECF" w:rsidRPr="0002028E" w:rsidRDefault="00271ECF" w:rsidP="0002028E">
    <w:pPr>
      <w:pStyle w:val="Footer"/>
      <w:tabs>
        <w:tab w:val="left" w:pos="3600"/>
      </w:tabs>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FD976" w14:textId="77777777" w:rsidR="00F73595" w:rsidRDefault="00F73595">
      <w:r>
        <w:separator/>
      </w:r>
    </w:p>
  </w:footnote>
  <w:footnote w:type="continuationSeparator" w:id="0">
    <w:p w14:paraId="68B59511" w14:textId="77777777" w:rsidR="00F73595" w:rsidRDefault="00F73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F6p1PWr5BtvPsjfvFA+uIcRiCD42jxdL6wM2fsU0XMlk+kFSVW6nIfFqFySzIfzvKvdW2wSsAkMwzWbeuoMhw==" w:salt="gmfNqi402VoPp4Xukj5se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A46"/>
    <w:rsid w:val="0002028E"/>
    <w:rsid w:val="0003121C"/>
    <w:rsid w:val="000341B3"/>
    <w:rsid w:val="0003666A"/>
    <w:rsid w:val="00037447"/>
    <w:rsid w:val="00041013"/>
    <w:rsid w:val="000426BC"/>
    <w:rsid w:val="00044FE2"/>
    <w:rsid w:val="00052BC8"/>
    <w:rsid w:val="000577D3"/>
    <w:rsid w:val="00057AA3"/>
    <w:rsid w:val="00073E99"/>
    <w:rsid w:val="00075B23"/>
    <w:rsid w:val="000766D1"/>
    <w:rsid w:val="000878FE"/>
    <w:rsid w:val="000A05D2"/>
    <w:rsid w:val="000A309F"/>
    <w:rsid w:val="000A54AA"/>
    <w:rsid w:val="000B3A10"/>
    <w:rsid w:val="000D6366"/>
    <w:rsid w:val="000E0109"/>
    <w:rsid w:val="000E3ECE"/>
    <w:rsid w:val="000E6000"/>
    <w:rsid w:val="000F0CB4"/>
    <w:rsid w:val="00107B4D"/>
    <w:rsid w:val="00112718"/>
    <w:rsid w:val="00116862"/>
    <w:rsid w:val="00121EB4"/>
    <w:rsid w:val="00143EC4"/>
    <w:rsid w:val="00167EEF"/>
    <w:rsid w:val="00170EA3"/>
    <w:rsid w:val="0017698B"/>
    <w:rsid w:val="00185F92"/>
    <w:rsid w:val="001864ED"/>
    <w:rsid w:val="001947C4"/>
    <w:rsid w:val="00195B9F"/>
    <w:rsid w:val="001B2B97"/>
    <w:rsid w:val="001B3438"/>
    <w:rsid w:val="001C479A"/>
    <w:rsid w:val="001C5E4D"/>
    <w:rsid w:val="001C7EA2"/>
    <w:rsid w:val="001E1802"/>
    <w:rsid w:val="001E2C45"/>
    <w:rsid w:val="001E4205"/>
    <w:rsid w:val="001F04F6"/>
    <w:rsid w:val="001F1CEB"/>
    <w:rsid w:val="002024FB"/>
    <w:rsid w:val="002046DB"/>
    <w:rsid w:val="0021424D"/>
    <w:rsid w:val="00223C98"/>
    <w:rsid w:val="00226BA1"/>
    <w:rsid w:val="002322A8"/>
    <w:rsid w:val="002323D9"/>
    <w:rsid w:val="002349A5"/>
    <w:rsid w:val="0024258A"/>
    <w:rsid w:val="002438A7"/>
    <w:rsid w:val="00250924"/>
    <w:rsid w:val="002536B9"/>
    <w:rsid w:val="00271ECF"/>
    <w:rsid w:val="0027513A"/>
    <w:rsid w:val="00281A37"/>
    <w:rsid w:val="002856ED"/>
    <w:rsid w:val="00287733"/>
    <w:rsid w:val="00296A42"/>
    <w:rsid w:val="002B5EBE"/>
    <w:rsid w:val="002C07BF"/>
    <w:rsid w:val="002C3208"/>
    <w:rsid w:val="002C5ADC"/>
    <w:rsid w:val="002D12A1"/>
    <w:rsid w:val="002D7E79"/>
    <w:rsid w:val="002F5D71"/>
    <w:rsid w:val="002F67B9"/>
    <w:rsid w:val="00302373"/>
    <w:rsid w:val="00302853"/>
    <w:rsid w:val="00311E1E"/>
    <w:rsid w:val="00321B28"/>
    <w:rsid w:val="00327F0D"/>
    <w:rsid w:val="00334C6D"/>
    <w:rsid w:val="00341B40"/>
    <w:rsid w:val="00355A65"/>
    <w:rsid w:val="00366331"/>
    <w:rsid w:val="003861E9"/>
    <w:rsid w:val="003974FA"/>
    <w:rsid w:val="003A0D1F"/>
    <w:rsid w:val="003A7636"/>
    <w:rsid w:val="003B5096"/>
    <w:rsid w:val="003B6A01"/>
    <w:rsid w:val="003B7217"/>
    <w:rsid w:val="003C2399"/>
    <w:rsid w:val="003C4EFC"/>
    <w:rsid w:val="003D3457"/>
    <w:rsid w:val="003D381B"/>
    <w:rsid w:val="003D42BC"/>
    <w:rsid w:val="003E613A"/>
    <w:rsid w:val="003F052F"/>
    <w:rsid w:val="003F0EAA"/>
    <w:rsid w:val="003F6BD8"/>
    <w:rsid w:val="00413E39"/>
    <w:rsid w:val="00414342"/>
    <w:rsid w:val="00415663"/>
    <w:rsid w:val="00446298"/>
    <w:rsid w:val="00460B9D"/>
    <w:rsid w:val="004657C0"/>
    <w:rsid w:val="00465E44"/>
    <w:rsid w:val="00466D87"/>
    <w:rsid w:val="00482626"/>
    <w:rsid w:val="004831DB"/>
    <w:rsid w:val="0049040F"/>
    <w:rsid w:val="00490C07"/>
    <w:rsid w:val="004D1FAC"/>
    <w:rsid w:val="004E44B3"/>
    <w:rsid w:val="004F26F7"/>
    <w:rsid w:val="004F3665"/>
    <w:rsid w:val="00502592"/>
    <w:rsid w:val="0050401B"/>
    <w:rsid w:val="005119FD"/>
    <w:rsid w:val="005126CA"/>
    <w:rsid w:val="005131D0"/>
    <w:rsid w:val="005149FD"/>
    <w:rsid w:val="00521C4D"/>
    <w:rsid w:val="00525B6C"/>
    <w:rsid w:val="005465FF"/>
    <w:rsid w:val="00546FEB"/>
    <w:rsid w:val="0055586D"/>
    <w:rsid w:val="00584238"/>
    <w:rsid w:val="00586D44"/>
    <w:rsid w:val="0059034B"/>
    <w:rsid w:val="005A6CCA"/>
    <w:rsid w:val="005B3CD2"/>
    <w:rsid w:val="005C0B65"/>
    <w:rsid w:val="005D05C9"/>
    <w:rsid w:val="005E0E50"/>
    <w:rsid w:val="005E20F4"/>
    <w:rsid w:val="005E28A7"/>
    <w:rsid w:val="005E6CB2"/>
    <w:rsid w:val="005F3978"/>
    <w:rsid w:val="005F3A19"/>
    <w:rsid w:val="005F7E42"/>
    <w:rsid w:val="005F7F4A"/>
    <w:rsid w:val="00605119"/>
    <w:rsid w:val="006053DC"/>
    <w:rsid w:val="00606184"/>
    <w:rsid w:val="00617A08"/>
    <w:rsid w:val="006373D2"/>
    <w:rsid w:val="00641AE0"/>
    <w:rsid w:val="00646ABA"/>
    <w:rsid w:val="006571C1"/>
    <w:rsid w:val="006615A6"/>
    <w:rsid w:val="006652EF"/>
    <w:rsid w:val="0067229A"/>
    <w:rsid w:val="00672CFE"/>
    <w:rsid w:val="00683974"/>
    <w:rsid w:val="00690B6C"/>
    <w:rsid w:val="006A4BA0"/>
    <w:rsid w:val="006A589D"/>
    <w:rsid w:val="006A7F4C"/>
    <w:rsid w:val="006B3F5B"/>
    <w:rsid w:val="006B6BC3"/>
    <w:rsid w:val="006B7DFF"/>
    <w:rsid w:val="006C5304"/>
    <w:rsid w:val="006C7E8A"/>
    <w:rsid w:val="006D0D06"/>
    <w:rsid w:val="006E0276"/>
    <w:rsid w:val="006E02C6"/>
    <w:rsid w:val="006E153B"/>
    <w:rsid w:val="006E6C5B"/>
    <w:rsid w:val="006F0BE1"/>
    <w:rsid w:val="00711607"/>
    <w:rsid w:val="00712FCD"/>
    <w:rsid w:val="00713949"/>
    <w:rsid w:val="00713BC6"/>
    <w:rsid w:val="007409B2"/>
    <w:rsid w:val="0074213F"/>
    <w:rsid w:val="00746304"/>
    <w:rsid w:val="00747469"/>
    <w:rsid w:val="00752435"/>
    <w:rsid w:val="007671E5"/>
    <w:rsid w:val="00771CEF"/>
    <w:rsid w:val="007813E9"/>
    <w:rsid w:val="00783673"/>
    <w:rsid w:val="00790207"/>
    <w:rsid w:val="00790B7F"/>
    <w:rsid w:val="0079712C"/>
    <w:rsid w:val="007A72D3"/>
    <w:rsid w:val="007D2852"/>
    <w:rsid w:val="007D6E8C"/>
    <w:rsid w:val="007E5826"/>
    <w:rsid w:val="007F211F"/>
    <w:rsid w:val="007F29C4"/>
    <w:rsid w:val="007F711A"/>
    <w:rsid w:val="007F73DE"/>
    <w:rsid w:val="008010A9"/>
    <w:rsid w:val="00807C52"/>
    <w:rsid w:val="008121E2"/>
    <w:rsid w:val="00820780"/>
    <w:rsid w:val="008342FE"/>
    <w:rsid w:val="00834DA1"/>
    <w:rsid w:val="00835C9B"/>
    <w:rsid w:val="00835DD0"/>
    <w:rsid w:val="00836F5F"/>
    <w:rsid w:val="00860DA0"/>
    <w:rsid w:val="00863639"/>
    <w:rsid w:val="00882831"/>
    <w:rsid w:val="0088452C"/>
    <w:rsid w:val="008A438F"/>
    <w:rsid w:val="008B02F6"/>
    <w:rsid w:val="008B3FF4"/>
    <w:rsid w:val="008C33B0"/>
    <w:rsid w:val="008C3EE0"/>
    <w:rsid w:val="008C5820"/>
    <w:rsid w:val="008D1947"/>
    <w:rsid w:val="008D5759"/>
    <w:rsid w:val="008E7DCA"/>
    <w:rsid w:val="008F4804"/>
    <w:rsid w:val="008F4FAC"/>
    <w:rsid w:val="008F68F4"/>
    <w:rsid w:val="00916DFB"/>
    <w:rsid w:val="00932561"/>
    <w:rsid w:val="00935F9E"/>
    <w:rsid w:val="0094101D"/>
    <w:rsid w:val="00972F4C"/>
    <w:rsid w:val="00977E31"/>
    <w:rsid w:val="00981747"/>
    <w:rsid w:val="0099005A"/>
    <w:rsid w:val="009902E7"/>
    <w:rsid w:val="00992A9D"/>
    <w:rsid w:val="00997EDF"/>
    <w:rsid w:val="009B13AD"/>
    <w:rsid w:val="009B492D"/>
    <w:rsid w:val="009C4ABC"/>
    <w:rsid w:val="009D4D66"/>
    <w:rsid w:val="009D70DE"/>
    <w:rsid w:val="00A10F46"/>
    <w:rsid w:val="00A20066"/>
    <w:rsid w:val="00A22E28"/>
    <w:rsid w:val="00A273CB"/>
    <w:rsid w:val="00A3148A"/>
    <w:rsid w:val="00A37302"/>
    <w:rsid w:val="00A40F04"/>
    <w:rsid w:val="00A56AF1"/>
    <w:rsid w:val="00A574B3"/>
    <w:rsid w:val="00A6245B"/>
    <w:rsid w:val="00A71808"/>
    <w:rsid w:val="00A84FD7"/>
    <w:rsid w:val="00A93B7B"/>
    <w:rsid w:val="00AA0033"/>
    <w:rsid w:val="00AA58D9"/>
    <w:rsid w:val="00AC4CD4"/>
    <w:rsid w:val="00AC548D"/>
    <w:rsid w:val="00AC78D2"/>
    <w:rsid w:val="00AE3209"/>
    <w:rsid w:val="00AE3EB0"/>
    <w:rsid w:val="00AF0C5F"/>
    <w:rsid w:val="00AF71A9"/>
    <w:rsid w:val="00B01A3F"/>
    <w:rsid w:val="00B04CF8"/>
    <w:rsid w:val="00B2435F"/>
    <w:rsid w:val="00B36A5C"/>
    <w:rsid w:val="00B36CC1"/>
    <w:rsid w:val="00B54F44"/>
    <w:rsid w:val="00B66C89"/>
    <w:rsid w:val="00B70E05"/>
    <w:rsid w:val="00B71026"/>
    <w:rsid w:val="00B72B15"/>
    <w:rsid w:val="00B74AE4"/>
    <w:rsid w:val="00B87F64"/>
    <w:rsid w:val="00B9032F"/>
    <w:rsid w:val="00B91537"/>
    <w:rsid w:val="00B95F79"/>
    <w:rsid w:val="00B97347"/>
    <w:rsid w:val="00BC0C16"/>
    <w:rsid w:val="00BC5058"/>
    <w:rsid w:val="00BD14A0"/>
    <w:rsid w:val="00BD4A32"/>
    <w:rsid w:val="00BD6FAA"/>
    <w:rsid w:val="00BD7CBD"/>
    <w:rsid w:val="00BE2C92"/>
    <w:rsid w:val="00BF75AF"/>
    <w:rsid w:val="00C01D4F"/>
    <w:rsid w:val="00C03652"/>
    <w:rsid w:val="00C06FD3"/>
    <w:rsid w:val="00C109C2"/>
    <w:rsid w:val="00C164FF"/>
    <w:rsid w:val="00C20450"/>
    <w:rsid w:val="00C20ABE"/>
    <w:rsid w:val="00C267A8"/>
    <w:rsid w:val="00C30512"/>
    <w:rsid w:val="00C4094F"/>
    <w:rsid w:val="00C44C17"/>
    <w:rsid w:val="00C55035"/>
    <w:rsid w:val="00C56061"/>
    <w:rsid w:val="00C60EE2"/>
    <w:rsid w:val="00C65709"/>
    <w:rsid w:val="00C67E4A"/>
    <w:rsid w:val="00C740BD"/>
    <w:rsid w:val="00C84031"/>
    <w:rsid w:val="00C855BA"/>
    <w:rsid w:val="00C85C4C"/>
    <w:rsid w:val="00C85C71"/>
    <w:rsid w:val="00C85D27"/>
    <w:rsid w:val="00C90353"/>
    <w:rsid w:val="00C94138"/>
    <w:rsid w:val="00C95ABB"/>
    <w:rsid w:val="00C96EE0"/>
    <w:rsid w:val="00C96F0B"/>
    <w:rsid w:val="00CA02CD"/>
    <w:rsid w:val="00CA2D18"/>
    <w:rsid w:val="00CA3B67"/>
    <w:rsid w:val="00CB15E7"/>
    <w:rsid w:val="00CB7006"/>
    <w:rsid w:val="00CC6EED"/>
    <w:rsid w:val="00CD63E4"/>
    <w:rsid w:val="00CD65DF"/>
    <w:rsid w:val="00CF2B82"/>
    <w:rsid w:val="00CF6C6F"/>
    <w:rsid w:val="00D066E7"/>
    <w:rsid w:val="00D0680C"/>
    <w:rsid w:val="00D10761"/>
    <w:rsid w:val="00D22A34"/>
    <w:rsid w:val="00D23157"/>
    <w:rsid w:val="00D33E83"/>
    <w:rsid w:val="00D35F92"/>
    <w:rsid w:val="00D408FD"/>
    <w:rsid w:val="00D42148"/>
    <w:rsid w:val="00D620BD"/>
    <w:rsid w:val="00D65872"/>
    <w:rsid w:val="00D94D09"/>
    <w:rsid w:val="00DA136B"/>
    <w:rsid w:val="00DA623D"/>
    <w:rsid w:val="00DB1053"/>
    <w:rsid w:val="00DC6C96"/>
    <w:rsid w:val="00DC7141"/>
    <w:rsid w:val="00DD27DB"/>
    <w:rsid w:val="00DD34C0"/>
    <w:rsid w:val="00DD3ECA"/>
    <w:rsid w:val="00DD5EF2"/>
    <w:rsid w:val="00E2267A"/>
    <w:rsid w:val="00E22A1F"/>
    <w:rsid w:val="00E2610E"/>
    <w:rsid w:val="00E444CC"/>
    <w:rsid w:val="00E47F01"/>
    <w:rsid w:val="00E51F67"/>
    <w:rsid w:val="00E56792"/>
    <w:rsid w:val="00E67480"/>
    <w:rsid w:val="00E8500B"/>
    <w:rsid w:val="00E855D2"/>
    <w:rsid w:val="00E91CCB"/>
    <w:rsid w:val="00E93793"/>
    <w:rsid w:val="00EB0A6D"/>
    <w:rsid w:val="00EB61E3"/>
    <w:rsid w:val="00EC69BB"/>
    <w:rsid w:val="00ED0A3F"/>
    <w:rsid w:val="00ED17EE"/>
    <w:rsid w:val="00ED6A46"/>
    <w:rsid w:val="00EE316D"/>
    <w:rsid w:val="00EF61DE"/>
    <w:rsid w:val="00F02C0F"/>
    <w:rsid w:val="00F100F0"/>
    <w:rsid w:val="00F14EF2"/>
    <w:rsid w:val="00F157A9"/>
    <w:rsid w:val="00F16D7A"/>
    <w:rsid w:val="00F25295"/>
    <w:rsid w:val="00F25B1B"/>
    <w:rsid w:val="00F30D25"/>
    <w:rsid w:val="00F3649B"/>
    <w:rsid w:val="00F73595"/>
    <w:rsid w:val="00F9124F"/>
    <w:rsid w:val="00F95A75"/>
    <w:rsid w:val="00F974EA"/>
    <w:rsid w:val="00FC61C7"/>
    <w:rsid w:val="00FC7310"/>
    <w:rsid w:val="00FD514D"/>
    <w:rsid w:val="00FE1331"/>
    <w:rsid w:val="00FE1FB9"/>
    <w:rsid w:val="00FE60D6"/>
    <w:rsid w:val="00FE74D0"/>
    <w:rsid w:val="00FF61A9"/>
    <w:rsid w:val="00FF6C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ight" fill="f" fillcolor="white" stroke="f">
      <v:fill color="white" on="f"/>
      <v:stroke on="f"/>
    </o:shapedefaults>
    <o:shapelayout v:ext="edit">
      <o:idmap v:ext="edit" data="1"/>
    </o:shapelayout>
  </w:shapeDefaults>
  <w:decimalSymbol w:val="."/>
  <w:listSeparator w:val=","/>
  <w14:docId w14:val="09CFBB65"/>
  <w15:docId w15:val="{4D63D97B-0666-411B-9896-36CB6D0A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A46"/>
    <w:rPr>
      <w:sz w:val="24"/>
      <w:szCs w:val="24"/>
      <w:lang w:val="en-US" w:eastAsia="en-US"/>
    </w:rPr>
  </w:style>
  <w:style w:type="paragraph" w:styleId="Heading3">
    <w:name w:val="heading 3"/>
    <w:basedOn w:val="Normal"/>
    <w:qFormat/>
    <w:rsid w:val="00223C9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D6A46"/>
    <w:rPr>
      <w:strike w:val="0"/>
      <w:dstrike w:val="0"/>
      <w:color w:val="0066CC"/>
      <w:u w:val="none"/>
      <w:effect w:val="none"/>
    </w:rPr>
  </w:style>
  <w:style w:type="paragraph" w:styleId="BodyText2">
    <w:name w:val="Body Text 2"/>
    <w:basedOn w:val="Normal"/>
    <w:rsid w:val="00ED6A46"/>
    <w:pPr>
      <w:spacing w:before="100" w:beforeAutospacing="1" w:after="100" w:afterAutospacing="1"/>
    </w:pPr>
  </w:style>
  <w:style w:type="paragraph" w:styleId="NormalWeb">
    <w:name w:val="Normal (Web)"/>
    <w:basedOn w:val="Normal"/>
    <w:rsid w:val="00ED6A46"/>
    <w:pPr>
      <w:spacing w:before="100" w:beforeAutospacing="1" w:after="100" w:afterAutospacing="1"/>
    </w:pPr>
  </w:style>
  <w:style w:type="paragraph" w:styleId="PlainText">
    <w:name w:val="Plain Text"/>
    <w:basedOn w:val="Normal"/>
    <w:rsid w:val="00ED6A46"/>
    <w:pPr>
      <w:spacing w:before="100" w:beforeAutospacing="1" w:after="100" w:afterAutospacing="1"/>
    </w:pPr>
  </w:style>
  <w:style w:type="paragraph" w:styleId="Title">
    <w:name w:val="Title"/>
    <w:basedOn w:val="Normal"/>
    <w:qFormat/>
    <w:rsid w:val="000B3A10"/>
    <w:pPr>
      <w:pBdr>
        <w:top w:val="thinThickThinSmallGap" w:sz="24" w:space="1" w:color="auto"/>
        <w:left w:val="thinThickThinSmallGap" w:sz="24" w:space="4" w:color="auto"/>
        <w:bottom w:val="thinThickThinSmallGap" w:sz="24" w:space="1" w:color="auto"/>
        <w:right w:val="thinThickThinSmallGap" w:sz="24" w:space="4" w:color="auto"/>
      </w:pBdr>
      <w:shd w:val="clear" w:color="auto" w:fill="FFFF00"/>
      <w:overflowPunct w:val="0"/>
      <w:autoSpaceDE w:val="0"/>
      <w:autoSpaceDN w:val="0"/>
      <w:adjustRightInd w:val="0"/>
      <w:jc w:val="center"/>
    </w:pPr>
    <w:rPr>
      <w:rFonts w:ascii="Arial" w:hAnsi="Arial"/>
      <w:b/>
      <w:i/>
      <w:color w:val="FF0000"/>
      <w:sz w:val="48"/>
      <w:szCs w:val="20"/>
    </w:rPr>
  </w:style>
  <w:style w:type="paragraph" w:styleId="Subtitle">
    <w:name w:val="Subtitle"/>
    <w:basedOn w:val="Normal"/>
    <w:qFormat/>
    <w:rsid w:val="000B3A10"/>
    <w:pPr>
      <w:overflowPunct w:val="0"/>
      <w:autoSpaceDE w:val="0"/>
      <w:autoSpaceDN w:val="0"/>
      <w:adjustRightInd w:val="0"/>
      <w:jc w:val="center"/>
    </w:pPr>
    <w:rPr>
      <w:b/>
      <w:sz w:val="28"/>
      <w:szCs w:val="20"/>
    </w:rPr>
  </w:style>
  <w:style w:type="paragraph" w:styleId="z-TopofForm">
    <w:name w:val="HTML Top of Form"/>
    <w:basedOn w:val="Normal"/>
    <w:next w:val="Normal"/>
    <w:hidden/>
    <w:rsid w:val="000B3A1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0B3A10"/>
    <w:pPr>
      <w:pBdr>
        <w:top w:val="single" w:sz="6" w:space="1" w:color="auto"/>
      </w:pBdr>
      <w:jc w:val="center"/>
    </w:pPr>
    <w:rPr>
      <w:rFonts w:ascii="Arial" w:hAnsi="Arial" w:cs="Arial"/>
      <w:vanish/>
      <w:sz w:val="16"/>
      <w:szCs w:val="16"/>
    </w:rPr>
  </w:style>
  <w:style w:type="paragraph" w:styleId="Header">
    <w:name w:val="header"/>
    <w:basedOn w:val="Normal"/>
    <w:rsid w:val="00460B9D"/>
    <w:pPr>
      <w:tabs>
        <w:tab w:val="center" w:pos="4320"/>
        <w:tab w:val="right" w:pos="8640"/>
      </w:tabs>
    </w:pPr>
  </w:style>
  <w:style w:type="paragraph" w:styleId="Footer">
    <w:name w:val="footer"/>
    <w:basedOn w:val="Normal"/>
    <w:rsid w:val="00460B9D"/>
    <w:pPr>
      <w:tabs>
        <w:tab w:val="center" w:pos="4320"/>
        <w:tab w:val="right" w:pos="8640"/>
      </w:tabs>
    </w:pPr>
  </w:style>
  <w:style w:type="character" w:customStyle="1" w:styleId="Date1">
    <w:name w:val="Date1"/>
    <w:basedOn w:val="DefaultParagraphFont"/>
    <w:rsid w:val="000A309F"/>
  </w:style>
  <w:style w:type="character" w:styleId="FollowedHyperlink">
    <w:name w:val="FollowedHyperlink"/>
    <w:rsid w:val="002D12A1"/>
    <w:rPr>
      <w:color w:val="800080"/>
      <w:u w:val="single"/>
    </w:rPr>
  </w:style>
  <w:style w:type="character" w:styleId="Strong">
    <w:name w:val="Strong"/>
    <w:qFormat/>
    <w:rsid w:val="0021424D"/>
    <w:rPr>
      <w:b/>
      <w:bCs/>
    </w:rPr>
  </w:style>
  <w:style w:type="character" w:styleId="Emphasis">
    <w:name w:val="Emphasis"/>
    <w:qFormat/>
    <w:rsid w:val="00281A37"/>
    <w:rPr>
      <w:i/>
      <w:iCs/>
    </w:rPr>
  </w:style>
  <w:style w:type="paragraph" w:customStyle="1" w:styleId="Default">
    <w:name w:val="Default"/>
    <w:rsid w:val="00185F92"/>
    <w:pPr>
      <w:autoSpaceDE w:val="0"/>
      <w:autoSpaceDN w:val="0"/>
      <w:adjustRightInd w:val="0"/>
    </w:pPr>
    <w:rPr>
      <w:rFonts w:ascii="IAHIH H+ Univers" w:hAnsi="IAHIH H+ Univers" w:cs="IAHIH H+ Univers"/>
      <w:color w:val="000000"/>
      <w:sz w:val="24"/>
      <w:szCs w:val="24"/>
      <w:lang w:val="en-US" w:eastAsia="en-US"/>
    </w:rPr>
  </w:style>
  <w:style w:type="paragraph" w:styleId="BalloonText">
    <w:name w:val="Balloon Text"/>
    <w:basedOn w:val="Normal"/>
    <w:link w:val="BalloonTextChar"/>
    <w:rsid w:val="00AA58D9"/>
    <w:rPr>
      <w:rFonts w:ascii="Tahoma" w:hAnsi="Tahoma" w:cs="Tahoma"/>
      <w:sz w:val="16"/>
      <w:szCs w:val="16"/>
    </w:rPr>
  </w:style>
  <w:style w:type="character" w:customStyle="1" w:styleId="BalloonTextChar">
    <w:name w:val="Balloon Text Char"/>
    <w:basedOn w:val="DefaultParagraphFont"/>
    <w:link w:val="BalloonText"/>
    <w:rsid w:val="00AA58D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6392">
      <w:bodyDiv w:val="1"/>
      <w:marLeft w:val="0"/>
      <w:marRight w:val="0"/>
      <w:marTop w:val="0"/>
      <w:marBottom w:val="0"/>
      <w:divBdr>
        <w:top w:val="none" w:sz="0" w:space="0" w:color="auto"/>
        <w:left w:val="none" w:sz="0" w:space="0" w:color="auto"/>
        <w:bottom w:val="none" w:sz="0" w:space="0" w:color="auto"/>
        <w:right w:val="none" w:sz="0" w:space="0" w:color="auto"/>
      </w:divBdr>
    </w:div>
    <w:div w:id="176043762">
      <w:bodyDiv w:val="1"/>
      <w:marLeft w:val="0"/>
      <w:marRight w:val="0"/>
      <w:marTop w:val="0"/>
      <w:marBottom w:val="0"/>
      <w:divBdr>
        <w:top w:val="none" w:sz="0" w:space="0" w:color="auto"/>
        <w:left w:val="none" w:sz="0" w:space="0" w:color="auto"/>
        <w:bottom w:val="none" w:sz="0" w:space="0" w:color="auto"/>
        <w:right w:val="none" w:sz="0" w:space="0" w:color="auto"/>
      </w:divBdr>
    </w:div>
    <w:div w:id="227107890">
      <w:bodyDiv w:val="1"/>
      <w:marLeft w:val="0"/>
      <w:marRight w:val="0"/>
      <w:marTop w:val="0"/>
      <w:marBottom w:val="0"/>
      <w:divBdr>
        <w:top w:val="none" w:sz="0" w:space="0" w:color="auto"/>
        <w:left w:val="none" w:sz="0" w:space="0" w:color="auto"/>
        <w:bottom w:val="none" w:sz="0" w:space="0" w:color="auto"/>
        <w:right w:val="none" w:sz="0" w:space="0" w:color="auto"/>
      </w:divBdr>
    </w:div>
    <w:div w:id="302656425">
      <w:bodyDiv w:val="1"/>
      <w:marLeft w:val="0"/>
      <w:marRight w:val="0"/>
      <w:marTop w:val="0"/>
      <w:marBottom w:val="0"/>
      <w:divBdr>
        <w:top w:val="none" w:sz="0" w:space="0" w:color="auto"/>
        <w:left w:val="none" w:sz="0" w:space="0" w:color="auto"/>
        <w:bottom w:val="none" w:sz="0" w:space="0" w:color="auto"/>
        <w:right w:val="none" w:sz="0" w:space="0" w:color="auto"/>
      </w:divBdr>
    </w:div>
    <w:div w:id="551309812">
      <w:bodyDiv w:val="1"/>
      <w:marLeft w:val="0"/>
      <w:marRight w:val="0"/>
      <w:marTop w:val="0"/>
      <w:marBottom w:val="0"/>
      <w:divBdr>
        <w:top w:val="none" w:sz="0" w:space="0" w:color="auto"/>
        <w:left w:val="none" w:sz="0" w:space="0" w:color="auto"/>
        <w:bottom w:val="none" w:sz="0" w:space="0" w:color="auto"/>
        <w:right w:val="none" w:sz="0" w:space="0" w:color="auto"/>
      </w:divBdr>
    </w:div>
    <w:div w:id="835194725">
      <w:bodyDiv w:val="1"/>
      <w:marLeft w:val="0"/>
      <w:marRight w:val="0"/>
      <w:marTop w:val="0"/>
      <w:marBottom w:val="0"/>
      <w:divBdr>
        <w:top w:val="none" w:sz="0" w:space="0" w:color="auto"/>
        <w:left w:val="none" w:sz="0" w:space="0" w:color="auto"/>
        <w:bottom w:val="none" w:sz="0" w:space="0" w:color="auto"/>
        <w:right w:val="none" w:sz="0" w:space="0" w:color="auto"/>
      </w:divBdr>
    </w:div>
    <w:div w:id="968434109">
      <w:bodyDiv w:val="1"/>
      <w:marLeft w:val="0"/>
      <w:marRight w:val="0"/>
      <w:marTop w:val="0"/>
      <w:marBottom w:val="0"/>
      <w:divBdr>
        <w:top w:val="none" w:sz="0" w:space="0" w:color="auto"/>
        <w:left w:val="none" w:sz="0" w:space="0" w:color="auto"/>
        <w:bottom w:val="none" w:sz="0" w:space="0" w:color="auto"/>
        <w:right w:val="none" w:sz="0" w:space="0" w:color="auto"/>
      </w:divBdr>
    </w:div>
    <w:div w:id="1072896048">
      <w:bodyDiv w:val="1"/>
      <w:marLeft w:val="0"/>
      <w:marRight w:val="0"/>
      <w:marTop w:val="0"/>
      <w:marBottom w:val="0"/>
      <w:divBdr>
        <w:top w:val="none" w:sz="0" w:space="0" w:color="auto"/>
        <w:left w:val="none" w:sz="0" w:space="0" w:color="auto"/>
        <w:bottom w:val="none" w:sz="0" w:space="0" w:color="auto"/>
        <w:right w:val="none" w:sz="0" w:space="0" w:color="auto"/>
      </w:divBdr>
    </w:div>
    <w:div w:id="1160194802">
      <w:bodyDiv w:val="1"/>
      <w:marLeft w:val="0"/>
      <w:marRight w:val="0"/>
      <w:marTop w:val="0"/>
      <w:marBottom w:val="0"/>
      <w:divBdr>
        <w:top w:val="none" w:sz="0" w:space="0" w:color="auto"/>
        <w:left w:val="none" w:sz="0" w:space="0" w:color="auto"/>
        <w:bottom w:val="none" w:sz="0" w:space="0" w:color="auto"/>
        <w:right w:val="none" w:sz="0" w:space="0" w:color="auto"/>
      </w:divBdr>
    </w:div>
    <w:div w:id="1353068757">
      <w:bodyDiv w:val="1"/>
      <w:marLeft w:val="0"/>
      <w:marRight w:val="0"/>
      <w:marTop w:val="0"/>
      <w:marBottom w:val="0"/>
      <w:divBdr>
        <w:top w:val="none" w:sz="0" w:space="0" w:color="auto"/>
        <w:left w:val="none" w:sz="0" w:space="0" w:color="auto"/>
        <w:bottom w:val="none" w:sz="0" w:space="0" w:color="auto"/>
        <w:right w:val="none" w:sz="0" w:space="0" w:color="auto"/>
      </w:divBdr>
      <w:divsChild>
        <w:div w:id="470711340">
          <w:marLeft w:val="0"/>
          <w:marRight w:val="0"/>
          <w:marTop w:val="0"/>
          <w:marBottom w:val="0"/>
          <w:divBdr>
            <w:top w:val="none" w:sz="0" w:space="0" w:color="auto"/>
            <w:left w:val="none" w:sz="0" w:space="0" w:color="auto"/>
            <w:bottom w:val="none" w:sz="0" w:space="0" w:color="auto"/>
            <w:right w:val="none" w:sz="0" w:space="0" w:color="auto"/>
          </w:divBdr>
          <w:divsChild>
            <w:div w:id="18703546">
              <w:marLeft w:val="0"/>
              <w:marRight w:val="0"/>
              <w:marTop w:val="0"/>
              <w:marBottom w:val="0"/>
              <w:divBdr>
                <w:top w:val="single" w:sz="24" w:space="1" w:color="FF0000"/>
                <w:left w:val="single" w:sz="24" w:space="4" w:color="FF0000"/>
                <w:bottom w:val="single" w:sz="24" w:space="1" w:color="FF0000"/>
                <w:right w:val="single" w:sz="24" w:space="4" w:color="FF0000"/>
              </w:divBdr>
            </w:div>
            <w:div w:id="80372043">
              <w:marLeft w:val="0"/>
              <w:marRight w:val="0"/>
              <w:marTop w:val="0"/>
              <w:marBottom w:val="0"/>
              <w:divBdr>
                <w:top w:val="single" w:sz="24" w:space="1" w:color="FF0000"/>
                <w:left w:val="single" w:sz="24" w:space="4" w:color="FF0000"/>
                <w:bottom w:val="single" w:sz="24" w:space="1" w:color="FF0000"/>
                <w:right w:val="single" w:sz="24" w:space="4" w:color="FF0000"/>
              </w:divBdr>
            </w:div>
            <w:div w:id="110905852">
              <w:marLeft w:val="0"/>
              <w:marRight w:val="0"/>
              <w:marTop w:val="0"/>
              <w:marBottom w:val="0"/>
              <w:divBdr>
                <w:top w:val="single" w:sz="24" w:space="1" w:color="FF0000"/>
                <w:left w:val="single" w:sz="24" w:space="4" w:color="FF0000"/>
                <w:bottom w:val="single" w:sz="24" w:space="1" w:color="FF0000"/>
                <w:right w:val="single" w:sz="24" w:space="4" w:color="FF0000"/>
              </w:divBdr>
            </w:div>
            <w:div w:id="257952103">
              <w:marLeft w:val="0"/>
              <w:marRight w:val="0"/>
              <w:marTop w:val="0"/>
              <w:marBottom w:val="0"/>
              <w:divBdr>
                <w:top w:val="single" w:sz="24" w:space="1" w:color="FF0000"/>
                <w:left w:val="single" w:sz="24" w:space="4" w:color="FF0000"/>
                <w:bottom w:val="single" w:sz="24" w:space="1" w:color="FF0000"/>
                <w:right w:val="single" w:sz="24" w:space="4" w:color="FF0000"/>
              </w:divBdr>
            </w:div>
            <w:div w:id="542904212">
              <w:marLeft w:val="0"/>
              <w:marRight w:val="0"/>
              <w:marTop w:val="0"/>
              <w:marBottom w:val="0"/>
              <w:divBdr>
                <w:top w:val="single" w:sz="24" w:space="1" w:color="FF0000"/>
                <w:left w:val="single" w:sz="24" w:space="4" w:color="FF0000"/>
                <w:bottom w:val="single" w:sz="24" w:space="1" w:color="FF0000"/>
                <w:right w:val="single" w:sz="24" w:space="4" w:color="FF0000"/>
              </w:divBdr>
            </w:div>
            <w:div w:id="744037463">
              <w:marLeft w:val="0"/>
              <w:marRight w:val="0"/>
              <w:marTop w:val="0"/>
              <w:marBottom w:val="0"/>
              <w:divBdr>
                <w:top w:val="single" w:sz="24" w:space="1" w:color="FF6600"/>
                <w:left w:val="single" w:sz="24" w:space="4" w:color="FF6600"/>
                <w:bottom w:val="single" w:sz="24" w:space="1" w:color="FF6600"/>
                <w:right w:val="single" w:sz="24" w:space="4" w:color="FF6600"/>
              </w:divBdr>
            </w:div>
            <w:div w:id="795568499">
              <w:marLeft w:val="0"/>
              <w:marRight w:val="0"/>
              <w:marTop w:val="0"/>
              <w:marBottom w:val="0"/>
              <w:divBdr>
                <w:top w:val="single" w:sz="24" w:space="1" w:color="FF6600"/>
                <w:left w:val="single" w:sz="24" w:space="4" w:color="FF6600"/>
                <w:bottom w:val="single" w:sz="24" w:space="1" w:color="FF6600"/>
                <w:right w:val="single" w:sz="24" w:space="4" w:color="FF6600"/>
              </w:divBdr>
            </w:div>
            <w:div w:id="831722915">
              <w:marLeft w:val="0"/>
              <w:marRight w:val="0"/>
              <w:marTop w:val="0"/>
              <w:marBottom w:val="0"/>
              <w:divBdr>
                <w:top w:val="none" w:sz="0" w:space="0" w:color="auto"/>
                <w:left w:val="none" w:sz="0" w:space="0" w:color="auto"/>
                <w:bottom w:val="none" w:sz="0" w:space="0" w:color="auto"/>
                <w:right w:val="none" w:sz="0" w:space="0" w:color="auto"/>
              </w:divBdr>
            </w:div>
            <w:div w:id="832257261">
              <w:marLeft w:val="0"/>
              <w:marRight w:val="0"/>
              <w:marTop w:val="0"/>
              <w:marBottom w:val="0"/>
              <w:divBdr>
                <w:top w:val="single" w:sz="24" w:space="1" w:color="FF6600"/>
                <w:left w:val="single" w:sz="24" w:space="4" w:color="FF6600"/>
                <w:bottom w:val="single" w:sz="24" w:space="1" w:color="FF6600"/>
                <w:right w:val="single" w:sz="24" w:space="4" w:color="FF6600"/>
              </w:divBdr>
            </w:div>
            <w:div w:id="1105611004">
              <w:marLeft w:val="0"/>
              <w:marRight w:val="0"/>
              <w:marTop w:val="0"/>
              <w:marBottom w:val="0"/>
              <w:divBdr>
                <w:top w:val="single" w:sz="24" w:space="1" w:color="FF0000"/>
                <w:left w:val="single" w:sz="24" w:space="4" w:color="FF0000"/>
                <w:bottom w:val="single" w:sz="24" w:space="1" w:color="FF0000"/>
                <w:right w:val="single" w:sz="24" w:space="4" w:color="FF0000"/>
              </w:divBdr>
            </w:div>
            <w:div w:id="1131631094">
              <w:marLeft w:val="0"/>
              <w:marRight w:val="0"/>
              <w:marTop w:val="0"/>
              <w:marBottom w:val="0"/>
              <w:divBdr>
                <w:top w:val="single" w:sz="24" w:space="1" w:color="FF6600"/>
                <w:left w:val="single" w:sz="24" w:space="4" w:color="FF6600"/>
                <w:bottom w:val="single" w:sz="24" w:space="1" w:color="FF6600"/>
                <w:right w:val="single" w:sz="24" w:space="4" w:color="FF6600"/>
              </w:divBdr>
            </w:div>
            <w:div w:id="1145588035">
              <w:marLeft w:val="0"/>
              <w:marRight w:val="0"/>
              <w:marTop w:val="0"/>
              <w:marBottom w:val="0"/>
              <w:divBdr>
                <w:top w:val="single" w:sz="24" w:space="1" w:color="FF6600"/>
                <w:left w:val="single" w:sz="24" w:space="4" w:color="FF6600"/>
                <w:bottom w:val="single" w:sz="24" w:space="1" w:color="FF6600"/>
                <w:right w:val="single" w:sz="24" w:space="4" w:color="FF6600"/>
              </w:divBdr>
            </w:div>
            <w:div w:id="1148979354">
              <w:marLeft w:val="0"/>
              <w:marRight w:val="0"/>
              <w:marTop w:val="0"/>
              <w:marBottom w:val="0"/>
              <w:divBdr>
                <w:top w:val="single" w:sz="24" w:space="1" w:color="FF0000"/>
                <w:left w:val="single" w:sz="24" w:space="4" w:color="FF0000"/>
                <w:bottom w:val="single" w:sz="24" w:space="1" w:color="FF0000"/>
                <w:right w:val="single" w:sz="24" w:space="4" w:color="FF0000"/>
              </w:divBdr>
            </w:div>
            <w:div w:id="1294674607">
              <w:marLeft w:val="0"/>
              <w:marRight w:val="0"/>
              <w:marTop w:val="0"/>
              <w:marBottom w:val="0"/>
              <w:divBdr>
                <w:top w:val="single" w:sz="18" w:space="1" w:color="FF0000"/>
                <w:left w:val="single" w:sz="18" w:space="3" w:color="FF0000"/>
                <w:bottom w:val="single" w:sz="18" w:space="1" w:color="FF0000"/>
                <w:right w:val="single" w:sz="18" w:space="3" w:color="FF0000"/>
              </w:divBdr>
              <w:divsChild>
                <w:div w:id="742801298">
                  <w:marLeft w:val="0"/>
                  <w:marRight w:val="0"/>
                  <w:marTop w:val="0"/>
                  <w:marBottom w:val="0"/>
                  <w:divBdr>
                    <w:top w:val="none" w:sz="0" w:space="0" w:color="auto"/>
                    <w:left w:val="none" w:sz="0" w:space="0" w:color="auto"/>
                    <w:bottom w:val="none" w:sz="0" w:space="0" w:color="auto"/>
                    <w:right w:val="none" w:sz="0" w:space="0" w:color="auto"/>
                  </w:divBdr>
                </w:div>
              </w:divsChild>
            </w:div>
            <w:div w:id="1407731037">
              <w:marLeft w:val="0"/>
              <w:marRight w:val="0"/>
              <w:marTop w:val="0"/>
              <w:marBottom w:val="0"/>
              <w:divBdr>
                <w:top w:val="single" w:sz="24" w:space="1" w:color="FF6600"/>
                <w:left w:val="single" w:sz="24" w:space="4" w:color="FF6600"/>
                <w:bottom w:val="single" w:sz="24" w:space="1" w:color="FF6600"/>
                <w:right w:val="single" w:sz="24" w:space="4" w:color="FF6600"/>
              </w:divBdr>
            </w:div>
            <w:div w:id="1450859597">
              <w:marLeft w:val="0"/>
              <w:marRight w:val="0"/>
              <w:marTop w:val="0"/>
              <w:marBottom w:val="0"/>
              <w:divBdr>
                <w:top w:val="single" w:sz="24" w:space="1" w:color="FF0000"/>
                <w:left w:val="single" w:sz="24" w:space="4" w:color="FF0000"/>
                <w:bottom w:val="single" w:sz="24" w:space="1" w:color="FF0000"/>
                <w:right w:val="single" w:sz="24" w:space="4" w:color="FF0000"/>
              </w:divBdr>
            </w:div>
            <w:div w:id="1616138357">
              <w:marLeft w:val="0"/>
              <w:marRight w:val="0"/>
              <w:marTop w:val="0"/>
              <w:marBottom w:val="0"/>
              <w:divBdr>
                <w:top w:val="single" w:sz="24" w:space="1" w:color="FF0000"/>
                <w:left w:val="single" w:sz="24" w:space="4" w:color="FF0000"/>
                <w:bottom w:val="single" w:sz="24" w:space="1" w:color="FF0000"/>
                <w:right w:val="single" w:sz="24" w:space="4" w:color="FF0000"/>
              </w:divBdr>
            </w:div>
            <w:div w:id="1620912216">
              <w:marLeft w:val="0"/>
              <w:marRight w:val="0"/>
              <w:marTop w:val="0"/>
              <w:marBottom w:val="0"/>
              <w:divBdr>
                <w:top w:val="single" w:sz="24" w:space="1" w:color="FF0000"/>
                <w:left w:val="single" w:sz="24" w:space="4" w:color="FF0000"/>
                <w:bottom w:val="single" w:sz="24" w:space="1" w:color="FF0000"/>
                <w:right w:val="single" w:sz="24" w:space="4" w:color="FF0000"/>
              </w:divBdr>
            </w:div>
            <w:div w:id="1745687658">
              <w:marLeft w:val="0"/>
              <w:marRight w:val="0"/>
              <w:marTop w:val="0"/>
              <w:marBottom w:val="0"/>
              <w:divBdr>
                <w:top w:val="single" w:sz="24" w:space="1" w:color="FF0000"/>
                <w:left w:val="single" w:sz="24" w:space="4" w:color="FF0000"/>
                <w:bottom w:val="single" w:sz="24" w:space="1" w:color="FF0000"/>
                <w:right w:val="single" w:sz="24" w:space="4" w:color="FF0000"/>
              </w:divBdr>
            </w:div>
            <w:div w:id="2054965464">
              <w:marLeft w:val="0"/>
              <w:marRight w:val="0"/>
              <w:marTop w:val="0"/>
              <w:marBottom w:val="0"/>
              <w:divBdr>
                <w:top w:val="single" w:sz="24" w:space="1" w:color="FF6600"/>
                <w:left w:val="single" w:sz="24" w:space="4" w:color="FF6600"/>
                <w:bottom w:val="single" w:sz="24" w:space="1" w:color="FF6600"/>
                <w:right w:val="single" w:sz="24" w:space="4" w:color="FF6600"/>
              </w:divBdr>
            </w:div>
          </w:divsChild>
        </w:div>
      </w:divsChild>
    </w:div>
    <w:div w:id="1378354742">
      <w:bodyDiv w:val="1"/>
      <w:marLeft w:val="0"/>
      <w:marRight w:val="0"/>
      <w:marTop w:val="0"/>
      <w:marBottom w:val="0"/>
      <w:divBdr>
        <w:top w:val="none" w:sz="0" w:space="0" w:color="auto"/>
        <w:left w:val="none" w:sz="0" w:space="0" w:color="auto"/>
        <w:bottom w:val="none" w:sz="0" w:space="0" w:color="auto"/>
        <w:right w:val="none" w:sz="0" w:space="0" w:color="auto"/>
      </w:divBdr>
    </w:div>
    <w:div w:id="1415278447">
      <w:bodyDiv w:val="1"/>
      <w:marLeft w:val="0"/>
      <w:marRight w:val="0"/>
      <w:marTop w:val="0"/>
      <w:marBottom w:val="0"/>
      <w:divBdr>
        <w:top w:val="none" w:sz="0" w:space="0" w:color="auto"/>
        <w:left w:val="none" w:sz="0" w:space="0" w:color="auto"/>
        <w:bottom w:val="none" w:sz="0" w:space="0" w:color="auto"/>
        <w:right w:val="none" w:sz="0" w:space="0" w:color="auto"/>
      </w:divBdr>
    </w:div>
    <w:div w:id="1595673949">
      <w:bodyDiv w:val="1"/>
      <w:marLeft w:val="0"/>
      <w:marRight w:val="0"/>
      <w:marTop w:val="0"/>
      <w:marBottom w:val="0"/>
      <w:divBdr>
        <w:top w:val="none" w:sz="0" w:space="0" w:color="auto"/>
        <w:left w:val="none" w:sz="0" w:space="0" w:color="auto"/>
        <w:bottom w:val="none" w:sz="0" w:space="0" w:color="auto"/>
        <w:right w:val="none" w:sz="0" w:space="0" w:color="auto"/>
      </w:divBdr>
      <w:divsChild>
        <w:div w:id="100033042">
          <w:marLeft w:val="0"/>
          <w:marRight w:val="0"/>
          <w:marTop w:val="0"/>
          <w:marBottom w:val="0"/>
          <w:divBdr>
            <w:top w:val="none" w:sz="0" w:space="0" w:color="auto"/>
            <w:left w:val="none" w:sz="0" w:space="0" w:color="auto"/>
            <w:bottom w:val="none" w:sz="0" w:space="0" w:color="auto"/>
            <w:right w:val="none" w:sz="0" w:space="0" w:color="auto"/>
          </w:divBdr>
          <w:divsChild>
            <w:div w:id="1627615310">
              <w:marLeft w:val="0"/>
              <w:marRight w:val="0"/>
              <w:marTop w:val="0"/>
              <w:marBottom w:val="0"/>
              <w:divBdr>
                <w:top w:val="none" w:sz="0" w:space="0" w:color="auto"/>
                <w:left w:val="none" w:sz="0" w:space="0" w:color="auto"/>
                <w:bottom w:val="none" w:sz="0" w:space="0" w:color="auto"/>
                <w:right w:val="none" w:sz="0" w:space="0" w:color="auto"/>
              </w:divBdr>
              <w:divsChild>
                <w:div w:id="2133748409">
                  <w:marLeft w:val="0"/>
                  <w:marRight w:val="0"/>
                  <w:marTop w:val="0"/>
                  <w:marBottom w:val="0"/>
                  <w:divBdr>
                    <w:top w:val="none" w:sz="0" w:space="0" w:color="auto"/>
                    <w:left w:val="none" w:sz="0" w:space="0" w:color="auto"/>
                    <w:bottom w:val="none" w:sz="0" w:space="0" w:color="auto"/>
                    <w:right w:val="none" w:sz="0" w:space="0" w:color="auto"/>
                  </w:divBdr>
                  <w:divsChild>
                    <w:div w:id="1314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93583">
          <w:marLeft w:val="0"/>
          <w:marRight w:val="0"/>
          <w:marTop w:val="0"/>
          <w:marBottom w:val="0"/>
          <w:divBdr>
            <w:top w:val="single" w:sz="12" w:space="1" w:color="000000"/>
            <w:left w:val="single" w:sz="12" w:space="3" w:color="000000"/>
            <w:bottom w:val="single" w:sz="12" w:space="1" w:color="000000"/>
            <w:right w:val="single" w:sz="12" w:space="3" w:color="000000"/>
          </w:divBdr>
          <w:divsChild>
            <w:div w:id="1728065922">
              <w:marLeft w:val="0"/>
              <w:marRight w:val="0"/>
              <w:marTop w:val="0"/>
              <w:marBottom w:val="0"/>
              <w:divBdr>
                <w:top w:val="single" w:sz="6" w:space="1" w:color="000000"/>
                <w:left w:val="single" w:sz="6" w:space="3" w:color="000000"/>
                <w:bottom w:val="single" w:sz="6" w:space="1" w:color="000000"/>
                <w:right w:val="single" w:sz="6" w:space="3" w:color="000000"/>
              </w:divBdr>
            </w:div>
          </w:divsChild>
        </w:div>
      </w:divsChild>
    </w:div>
    <w:div w:id="195278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pec2000.net/index.htm" TargetMode="External"/><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4DFF4-4BAA-457E-9DD7-B60274D77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1797</Words>
  <Characters>10243</Characters>
  <Application>Microsoft Office Word</Application>
  <DocSecurity>8</DocSecurity>
  <Lines>85</Lines>
  <Paragraphs>24</Paragraphs>
  <ScaleCrop>false</ScaleCrop>
  <HeadingPairs>
    <vt:vector size="2" baseType="variant">
      <vt:variant>
        <vt:lpstr>Title</vt:lpstr>
      </vt:variant>
      <vt:variant>
        <vt:i4>1</vt:i4>
      </vt:variant>
    </vt:vector>
  </HeadingPairs>
  <TitlesOfParts>
    <vt:vector size="1" baseType="lpstr">
      <vt:lpstr>Crain's Cement Integrity</vt:lpstr>
    </vt:vector>
  </TitlesOfParts>
  <Company/>
  <LinksUpToDate>false</LinksUpToDate>
  <CharactersWithSpaces>12016</CharactersWithSpaces>
  <SharedDoc>false</SharedDoc>
  <HLinks>
    <vt:vector size="48" baseType="variant">
      <vt:variant>
        <vt:i4>3866670</vt:i4>
      </vt:variant>
      <vt:variant>
        <vt:i4>27</vt:i4>
      </vt:variant>
      <vt:variant>
        <vt:i4>0</vt:i4>
      </vt:variant>
      <vt:variant>
        <vt:i4>5</vt:i4>
      </vt:variant>
      <vt:variant>
        <vt:lpwstr>http://www.apegga.org/</vt:lpwstr>
      </vt:variant>
      <vt:variant>
        <vt:lpwstr/>
      </vt:variant>
      <vt:variant>
        <vt:i4>4587536</vt:i4>
      </vt:variant>
      <vt:variant>
        <vt:i4>24</vt:i4>
      </vt:variant>
      <vt:variant>
        <vt:i4>0</vt:i4>
      </vt:variant>
      <vt:variant>
        <vt:i4>5</vt:i4>
      </vt:variant>
      <vt:variant>
        <vt:lpwstr>http://www.spwla.org/</vt:lpwstr>
      </vt:variant>
      <vt:variant>
        <vt:lpwstr/>
      </vt:variant>
      <vt:variant>
        <vt:i4>5701724</vt:i4>
      </vt:variant>
      <vt:variant>
        <vt:i4>21</vt:i4>
      </vt:variant>
      <vt:variant>
        <vt:i4>0</vt:i4>
      </vt:variant>
      <vt:variant>
        <vt:i4>5</vt:i4>
      </vt:variant>
      <vt:variant>
        <vt:lpwstr>http://www.cwls.org/</vt:lpwstr>
      </vt:variant>
      <vt:variant>
        <vt:lpwstr/>
      </vt:variant>
      <vt:variant>
        <vt:i4>7340086</vt:i4>
      </vt:variant>
      <vt:variant>
        <vt:i4>18</vt:i4>
      </vt:variant>
      <vt:variant>
        <vt:i4>0</vt:i4>
      </vt:variant>
      <vt:variant>
        <vt:i4>5</vt:i4>
      </vt:variant>
      <vt:variant>
        <vt:lpwstr>resume.htm</vt:lpwstr>
      </vt:variant>
      <vt:variant>
        <vt:lpwstr/>
      </vt:variant>
      <vt:variant>
        <vt:i4>5701720</vt:i4>
      </vt:variant>
      <vt:variant>
        <vt:i4>9</vt:i4>
      </vt:variant>
      <vt:variant>
        <vt:i4>0</vt:i4>
      </vt:variant>
      <vt:variant>
        <vt:i4>5</vt:i4>
      </vt:variant>
      <vt:variant>
        <vt:lpwstr>http://www.spec2000.net/17-specpotash.htm</vt:lpwstr>
      </vt:variant>
      <vt:variant>
        <vt:lpwstr/>
      </vt:variant>
      <vt:variant>
        <vt:i4>6488128</vt:i4>
      </vt:variant>
      <vt:variant>
        <vt:i4>3</vt:i4>
      </vt:variant>
      <vt:variant>
        <vt:i4>0</vt:i4>
      </vt:variant>
      <vt:variant>
        <vt:i4>5</vt:i4>
      </vt:variant>
      <vt:variant>
        <vt:lpwstr>../../../spec2000/freepubs/ross@spec2000.net</vt:lpwstr>
      </vt:variant>
      <vt:variant>
        <vt:lpwstr/>
      </vt:variant>
      <vt:variant>
        <vt:i4>5963865</vt:i4>
      </vt:variant>
      <vt:variant>
        <vt:i4>0</vt:i4>
      </vt:variant>
      <vt:variant>
        <vt:i4>0</vt:i4>
      </vt:variant>
      <vt:variant>
        <vt:i4>5</vt:i4>
      </vt:variant>
      <vt:variant>
        <vt:lpwstr>http://www.spec2000.net/</vt:lpwstr>
      </vt:variant>
      <vt:variant>
        <vt:lpwstr/>
      </vt:variant>
      <vt:variant>
        <vt:i4>7340086</vt:i4>
      </vt:variant>
      <vt:variant>
        <vt:i4>-1</vt:i4>
      </vt:variant>
      <vt:variant>
        <vt:i4>1278</vt:i4>
      </vt:variant>
      <vt:variant>
        <vt:i4>4</vt:i4>
      </vt:variant>
      <vt:variant>
        <vt:lpwstr>resume.htm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Crain's Cement Integrity</dc:title>
  <dc:creator>Ross Crain</dc:creator>
  <cp:lastModifiedBy>sandra bleue</cp:lastModifiedBy>
  <cp:revision>16</cp:revision>
  <cp:lastPrinted>2004-06-09T13:43:00Z</cp:lastPrinted>
  <dcterms:created xsi:type="dcterms:W3CDTF">2018-10-25T02:30:00Z</dcterms:created>
  <dcterms:modified xsi:type="dcterms:W3CDTF">2022-12-31T19:19:00Z</dcterms:modified>
</cp:coreProperties>
</file>